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08AF" w14:textId="77777777" w:rsidR="004A3E09" w:rsidRPr="00B662B6" w:rsidRDefault="004A3E09" w:rsidP="00B662B6">
      <w:pPr>
        <w:pStyle w:val="IntenseQuote"/>
        <w:rPr>
          <w:b/>
          <w:bCs/>
          <w:color w:val="0070C0"/>
        </w:rPr>
      </w:pPr>
      <w:r w:rsidRPr="00B662B6">
        <w:rPr>
          <w:b/>
          <w:bCs/>
          <w:color w:val="0070C0"/>
        </w:rPr>
        <w:t>"The Role of Social-Emotional Factors in Academic Motivation and Procrastination"</w:t>
      </w:r>
    </w:p>
    <w:p w14:paraId="592DE780" w14:textId="77777777" w:rsidR="00B662B6" w:rsidRDefault="00B662B6" w:rsidP="00B662B6"/>
    <w:p w14:paraId="6610D371" w14:textId="7A6ACC4A" w:rsidR="004A3E09" w:rsidRPr="004A3E09" w:rsidRDefault="00B662B6" w:rsidP="004A3E09">
      <w:pPr>
        <w:rPr>
          <w:b/>
          <w:bCs/>
        </w:rPr>
      </w:pPr>
      <w:r w:rsidRPr="004A3E09">
        <w:rPr>
          <w:b/>
          <w:bCs/>
        </w:rPr>
        <w:t>Update:</w:t>
      </w:r>
      <w:r w:rsidR="004A3E09" w:rsidRPr="004A3E09">
        <w:rPr>
          <w:b/>
          <w:bCs/>
        </w:rPr>
        <w:br/>
      </w:r>
      <w:r w:rsidR="004A3E09" w:rsidRPr="004A3E09">
        <w:t>One area of socio-behavioral learning that interests me is academic motivation and procrastination among students. Educational psychology research shows that social and emotional conditions strongly influence whether students engage with or avoid academic tasks. For example, students with higher self-efficacy, supportive peer and teacher relationships, and effective emotional regulation are less likely to procrastinate and more likely to stay motivated and persist in challenging tasks. Conversely, stress, anxiety, or a lack of social support can lead to avoidance, lower engagement, and poorer learning outcomes.</w:t>
      </w:r>
    </w:p>
    <w:p w14:paraId="2E8C7164" w14:textId="77777777" w:rsidR="004A3E09" w:rsidRPr="004A3E09" w:rsidRDefault="004A3E09" w:rsidP="004A3E09">
      <w:pPr>
        <w:rPr>
          <w:b/>
          <w:bCs/>
        </w:rPr>
      </w:pPr>
      <w:r w:rsidRPr="004A3E09">
        <w:rPr>
          <w:b/>
          <w:bCs/>
        </w:rPr>
        <w:t>The main concepts needed to interpret this evidence include:</w:t>
      </w:r>
    </w:p>
    <w:p w14:paraId="5CE6CCE9" w14:textId="77777777" w:rsidR="004A3E09" w:rsidRPr="004A3E09" w:rsidRDefault="004A3E09" w:rsidP="004A3E09">
      <w:pPr>
        <w:numPr>
          <w:ilvl w:val="0"/>
          <w:numId w:val="4"/>
        </w:numPr>
      </w:pPr>
      <w:r w:rsidRPr="004A3E09">
        <w:rPr>
          <w:b/>
          <w:bCs/>
        </w:rPr>
        <w:t>Self-efficacy:</w:t>
      </w:r>
      <w:r w:rsidRPr="004A3E09">
        <w:t xml:space="preserve"> Belief in one’s ability to succeed, which impacts motivation and persistence.</w:t>
      </w:r>
    </w:p>
    <w:p w14:paraId="1D5000B5" w14:textId="77777777" w:rsidR="004A3E09" w:rsidRPr="004A3E09" w:rsidRDefault="004A3E09" w:rsidP="004A3E09">
      <w:pPr>
        <w:numPr>
          <w:ilvl w:val="0"/>
          <w:numId w:val="4"/>
        </w:numPr>
      </w:pPr>
      <w:r w:rsidRPr="004A3E09">
        <w:rPr>
          <w:b/>
          <w:bCs/>
        </w:rPr>
        <w:t>Emotional regulation:</w:t>
      </w:r>
      <w:r w:rsidRPr="004A3E09">
        <w:t xml:space="preserve"> Managing stress and anxiety to maintain focus and effort.</w:t>
      </w:r>
    </w:p>
    <w:p w14:paraId="2137CF1C" w14:textId="77777777" w:rsidR="004A3E09" w:rsidRPr="004A3E09" w:rsidRDefault="004A3E09" w:rsidP="004A3E09">
      <w:pPr>
        <w:numPr>
          <w:ilvl w:val="0"/>
          <w:numId w:val="4"/>
        </w:numPr>
      </w:pPr>
      <w:r w:rsidRPr="004A3E09">
        <w:rPr>
          <w:b/>
          <w:bCs/>
        </w:rPr>
        <w:t>Social support:</w:t>
      </w:r>
      <w:r w:rsidRPr="004A3E09">
        <w:t xml:space="preserve"> Encouragement from peers, teachers, and family that fosters engagement.</w:t>
      </w:r>
    </w:p>
    <w:p w14:paraId="75113737" w14:textId="77777777" w:rsidR="004A3E09" w:rsidRDefault="004A3E09" w:rsidP="004A3E09">
      <w:pPr>
        <w:numPr>
          <w:ilvl w:val="0"/>
          <w:numId w:val="4"/>
        </w:numPr>
      </w:pPr>
      <w:r w:rsidRPr="004A3E09">
        <w:rPr>
          <w:b/>
          <w:bCs/>
        </w:rPr>
        <w:t>Motivation theory:</w:t>
      </w:r>
      <w:r w:rsidRPr="004A3E09">
        <w:t xml:space="preserve"> Understanding intrinsic and extrinsic factors that drive learning behaviors.</w:t>
      </w:r>
    </w:p>
    <w:p w14:paraId="2EEF3199" w14:textId="77777777" w:rsidR="0081452C" w:rsidRDefault="0081452C" w:rsidP="0081452C">
      <w:pPr>
        <w:ind w:left="720"/>
      </w:pPr>
    </w:p>
    <w:p w14:paraId="505267D7" w14:textId="77777777" w:rsidR="00320CB1" w:rsidRPr="0081452C" w:rsidRDefault="00320CB1" w:rsidP="00320CB1">
      <w:pPr>
        <w:ind w:left="360"/>
        <w:rPr>
          <w:b/>
          <w:bCs/>
          <w:color w:val="0070C0"/>
          <w:sz w:val="28"/>
          <w:szCs w:val="28"/>
        </w:rPr>
      </w:pPr>
      <w:r w:rsidRPr="0081452C">
        <w:rPr>
          <w:b/>
          <w:bCs/>
          <w:color w:val="0070C0"/>
          <w:sz w:val="28"/>
          <w:szCs w:val="28"/>
        </w:rPr>
        <w:t>Social-Emotional Factors</w:t>
      </w:r>
    </w:p>
    <w:p w14:paraId="04668364" w14:textId="77777777" w:rsidR="00320CB1" w:rsidRPr="0081452C" w:rsidRDefault="00320CB1" w:rsidP="00320CB1">
      <w:pPr>
        <w:ind w:left="360"/>
        <w:rPr>
          <w:color w:val="0070C0"/>
        </w:rPr>
      </w:pPr>
      <w:r>
        <w:t xml:space="preserve">   │</w:t>
      </w:r>
    </w:p>
    <w:p w14:paraId="6BCB5676" w14:textId="77777777" w:rsidR="00320CB1" w:rsidRPr="0081452C" w:rsidRDefault="00320CB1" w:rsidP="00320CB1">
      <w:pPr>
        <w:ind w:left="360"/>
        <w:rPr>
          <w:color w:val="0070C0"/>
        </w:rPr>
      </w:pPr>
      <w:r w:rsidRPr="0081452C">
        <w:rPr>
          <w:color w:val="0070C0"/>
        </w:rPr>
        <w:t xml:space="preserve">   </w:t>
      </w:r>
      <w:r w:rsidRPr="0081452C">
        <w:rPr>
          <w:rFonts w:ascii="MS Gothic" w:eastAsia="MS Gothic" w:hAnsi="MS Gothic" w:cs="MS Gothic" w:hint="eastAsia"/>
          <w:color w:val="0070C0"/>
        </w:rPr>
        <w:t>├</w:t>
      </w:r>
      <w:r w:rsidRPr="0081452C">
        <w:rPr>
          <w:rFonts w:ascii="Aptos" w:hAnsi="Aptos" w:cs="Aptos"/>
          <w:color w:val="0070C0"/>
        </w:rPr>
        <w:t>─</w:t>
      </w:r>
      <w:r w:rsidRPr="0081452C">
        <w:rPr>
          <w:color w:val="0070C0"/>
        </w:rPr>
        <w:t xml:space="preserve"> Self-Efficacy </w:t>
      </w:r>
      <w:r w:rsidRPr="0081452C">
        <w:rPr>
          <w:rFonts w:ascii="Aptos" w:hAnsi="Aptos" w:cs="Aptos"/>
          <w:color w:val="0070C0"/>
        </w:rPr>
        <w:t>→</w:t>
      </w:r>
      <w:r w:rsidRPr="0081452C">
        <w:rPr>
          <w:color w:val="0070C0"/>
        </w:rPr>
        <w:t xml:space="preserve"> Higher Motivation </w:t>
      </w:r>
      <w:r w:rsidRPr="0081452C">
        <w:rPr>
          <w:rFonts w:ascii="Aptos" w:hAnsi="Aptos" w:cs="Aptos"/>
          <w:color w:val="0070C0"/>
        </w:rPr>
        <w:t>→</w:t>
      </w:r>
      <w:r w:rsidRPr="0081452C">
        <w:rPr>
          <w:color w:val="0070C0"/>
        </w:rPr>
        <w:t xml:space="preserve"> Lower Procrastination</w:t>
      </w:r>
    </w:p>
    <w:p w14:paraId="72C0E37A" w14:textId="77777777" w:rsidR="00320CB1" w:rsidRPr="0081452C" w:rsidRDefault="00320CB1" w:rsidP="00320CB1">
      <w:pPr>
        <w:ind w:left="360"/>
        <w:rPr>
          <w:color w:val="0070C0"/>
        </w:rPr>
      </w:pPr>
      <w:r w:rsidRPr="0081452C">
        <w:rPr>
          <w:color w:val="0070C0"/>
        </w:rPr>
        <w:t xml:space="preserve">   </w:t>
      </w:r>
      <w:r w:rsidRPr="0081452C">
        <w:rPr>
          <w:rFonts w:ascii="MS Gothic" w:eastAsia="MS Gothic" w:hAnsi="MS Gothic" w:cs="MS Gothic" w:hint="eastAsia"/>
          <w:color w:val="0070C0"/>
        </w:rPr>
        <w:t>├</w:t>
      </w:r>
      <w:r w:rsidRPr="0081452C">
        <w:rPr>
          <w:rFonts w:ascii="Aptos" w:hAnsi="Aptos" w:cs="Aptos"/>
          <w:color w:val="0070C0"/>
        </w:rPr>
        <w:t>─</w:t>
      </w:r>
      <w:r w:rsidRPr="0081452C">
        <w:rPr>
          <w:color w:val="0070C0"/>
        </w:rPr>
        <w:t xml:space="preserve"> Emotional Regulation </w:t>
      </w:r>
      <w:r w:rsidRPr="0081452C">
        <w:rPr>
          <w:rFonts w:ascii="Aptos" w:hAnsi="Aptos" w:cs="Aptos"/>
          <w:color w:val="0070C0"/>
        </w:rPr>
        <w:t>→</w:t>
      </w:r>
      <w:r w:rsidRPr="0081452C">
        <w:rPr>
          <w:color w:val="0070C0"/>
        </w:rPr>
        <w:t xml:space="preserve"> Maintained Focus </w:t>
      </w:r>
      <w:r w:rsidRPr="0081452C">
        <w:rPr>
          <w:rFonts w:ascii="Aptos" w:hAnsi="Aptos" w:cs="Aptos"/>
          <w:color w:val="0070C0"/>
        </w:rPr>
        <w:t>→</w:t>
      </w:r>
      <w:r w:rsidRPr="0081452C">
        <w:rPr>
          <w:color w:val="0070C0"/>
        </w:rPr>
        <w:t xml:space="preserve"> Better Learning</w:t>
      </w:r>
    </w:p>
    <w:p w14:paraId="6CE3ADD6" w14:textId="77777777" w:rsidR="00320CB1" w:rsidRPr="0081452C" w:rsidRDefault="00320CB1" w:rsidP="00320CB1">
      <w:pPr>
        <w:ind w:left="360"/>
        <w:rPr>
          <w:color w:val="0070C0"/>
        </w:rPr>
      </w:pPr>
      <w:r w:rsidRPr="0081452C">
        <w:rPr>
          <w:color w:val="0070C0"/>
        </w:rPr>
        <w:t xml:space="preserve">   └─ Social Support → Engagement → Academic Success</w:t>
      </w:r>
    </w:p>
    <w:p w14:paraId="7AEF7B19" w14:textId="77777777" w:rsidR="00320CB1" w:rsidRPr="004A3E09" w:rsidRDefault="00320CB1" w:rsidP="00320CB1"/>
    <w:p w14:paraId="30803536" w14:textId="77777777" w:rsidR="004A3E09" w:rsidRPr="004A3E09" w:rsidRDefault="004A3E09" w:rsidP="004A3E09">
      <w:pPr>
        <w:rPr>
          <w:b/>
          <w:bCs/>
        </w:rPr>
      </w:pPr>
      <w:r w:rsidRPr="004A3E09">
        <w:lastRenderedPageBreak/>
        <w:t>These concepts help us interpret why students succeed or struggle, showing how social-emotional conditions shape academic behavior. This shows that, like Espelage’s work on bullying, understanding the social-emotional context is crucial for designing interventions that improve student learning and engagement</w:t>
      </w:r>
      <w:r w:rsidRPr="004A3E09">
        <w:rPr>
          <w:b/>
          <w:bCs/>
        </w:rPr>
        <w:t>.</w:t>
      </w:r>
    </w:p>
    <w:p w14:paraId="418638C0" w14:textId="77777777" w:rsidR="004A3E09" w:rsidRPr="004A3E09" w:rsidRDefault="004A3E09" w:rsidP="004A3E09">
      <w:pPr>
        <w:rPr>
          <w:b/>
          <w:bCs/>
        </w:rPr>
      </w:pPr>
      <w:r w:rsidRPr="004A3E09">
        <w:rPr>
          <w:b/>
          <w:bCs/>
        </w:rPr>
        <w:t>References:</w:t>
      </w:r>
    </w:p>
    <w:p w14:paraId="553BF950" w14:textId="77777777" w:rsidR="004A3E09" w:rsidRPr="004A3E09" w:rsidRDefault="004A3E09" w:rsidP="004A3E09">
      <w:pPr>
        <w:numPr>
          <w:ilvl w:val="0"/>
          <w:numId w:val="5"/>
        </w:numPr>
        <w:rPr>
          <w:b/>
          <w:bCs/>
        </w:rPr>
      </w:pPr>
      <w:r w:rsidRPr="004A3E09">
        <w:rPr>
          <w:b/>
          <w:bCs/>
        </w:rPr>
        <w:t xml:space="preserve">Farhadi Rad, H., </w:t>
      </w:r>
      <w:proofErr w:type="spellStart"/>
      <w:r w:rsidRPr="004A3E09">
        <w:rPr>
          <w:b/>
          <w:bCs/>
        </w:rPr>
        <w:t>Bordbar</w:t>
      </w:r>
      <w:proofErr w:type="spellEnd"/>
      <w:r w:rsidRPr="004A3E09">
        <w:rPr>
          <w:b/>
          <w:bCs/>
        </w:rPr>
        <w:t xml:space="preserve">, S., </w:t>
      </w:r>
      <w:proofErr w:type="spellStart"/>
      <w:r w:rsidRPr="004A3E09">
        <w:rPr>
          <w:b/>
          <w:bCs/>
        </w:rPr>
        <w:t>Bahmaei</w:t>
      </w:r>
      <w:proofErr w:type="spellEnd"/>
      <w:r w:rsidRPr="004A3E09">
        <w:rPr>
          <w:b/>
          <w:bCs/>
        </w:rPr>
        <w:t xml:space="preserve">, J., </w:t>
      </w:r>
      <w:proofErr w:type="spellStart"/>
      <w:r w:rsidRPr="004A3E09">
        <w:rPr>
          <w:b/>
          <w:bCs/>
        </w:rPr>
        <w:t>Vejdani</w:t>
      </w:r>
      <w:proofErr w:type="spellEnd"/>
      <w:r w:rsidRPr="004A3E09">
        <w:rPr>
          <w:b/>
          <w:bCs/>
        </w:rPr>
        <w:t xml:space="preserve">, M., &amp; Yusefi, A. R. (2025). Predicting academic procrastination of students based on academic self-efficacy and emotional regulation difficulties. </w:t>
      </w:r>
      <w:r w:rsidRPr="004A3E09">
        <w:rPr>
          <w:b/>
          <w:bCs/>
          <w:i/>
          <w:iCs/>
        </w:rPr>
        <w:t>Scientific Reports, 15,</w:t>
      </w:r>
      <w:r w:rsidRPr="004A3E09">
        <w:rPr>
          <w:b/>
          <w:bCs/>
        </w:rPr>
        <w:t xml:space="preserve"> 3003. </w:t>
      </w:r>
      <w:hyperlink r:id="rId6" w:tgtFrame="_new" w:history="1">
        <w:r w:rsidRPr="004A3E09">
          <w:rPr>
            <w:rStyle w:val="Hyperlink"/>
            <w:b/>
            <w:bCs/>
          </w:rPr>
          <w:t>https://doi.org/10.1038/s41598-025-87664-7</w:t>
        </w:r>
      </w:hyperlink>
    </w:p>
    <w:p w14:paraId="78D84A8D" w14:textId="77777777" w:rsidR="004A3E09" w:rsidRPr="004A3E09" w:rsidRDefault="004A3E09" w:rsidP="004A3E09">
      <w:pPr>
        <w:numPr>
          <w:ilvl w:val="0"/>
          <w:numId w:val="5"/>
        </w:numPr>
        <w:rPr>
          <w:b/>
          <w:bCs/>
        </w:rPr>
      </w:pPr>
      <w:r w:rsidRPr="004A3E09">
        <w:rPr>
          <w:b/>
          <w:bCs/>
        </w:rPr>
        <w:t xml:space="preserve">Soumeya, M., Abdelhalim, M., &amp; </w:t>
      </w:r>
      <w:proofErr w:type="spellStart"/>
      <w:r w:rsidRPr="004A3E09">
        <w:rPr>
          <w:b/>
          <w:bCs/>
        </w:rPr>
        <w:t>Mahassin</w:t>
      </w:r>
      <w:proofErr w:type="spellEnd"/>
      <w:r w:rsidRPr="004A3E09">
        <w:rPr>
          <w:b/>
          <w:bCs/>
        </w:rPr>
        <w:t xml:space="preserve">, I. (2024). Self-regulation, self-efficacy, and academic procrastination. </w:t>
      </w:r>
      <w:r w:rsidRPr="004A3E09">
        <w:rPr>
          <w:b/>
          <w:bCs/>
          <w:i/>
          <w:iCs/>
        </w:rPr>
        <w:t>Educational Administration: Theory and Practice, 30</w:t>
      </w:r>
      <w:r w:rsidRPr="004A3E09">
        <w:rPr>
          <w:b/>
          <w:bCs/>
        </w:rPr>
        <w:t xml:space="preserve">(11), 942–952. </w:t>
      </w:r>
      <w:hyperlink r:id="rId7" w:tgtFrame="_new" w:history="1">
        <w:r w:rsidRPr="004A3E09">
          <w:rPr>
            <w:rStyle w:val="Hyperlink"/>
            <w:b/>
            <w:bCs/>
          </w:rPr>
          <w:t>https://doi.org/10.53555/kuey.v30i11.8893</w:t>
        </w:r>
      </w:hyperlink>
    </w:p>
    <w:p w14:paraId="1CB0F0EC" w14:textId="77777777" w:rsidR="004A3E09" w:rsidRPr="004A3E09" w:rsidRDefault="004A3E09" w:rsidP="004A3E09">
      <w:pPr>
        <w:numPr>
          <w:ilvl w:val="0"/>
          <w:numId w:val="5"/>
        </w:numPr>
        <w:rPr>
          <w:b/>
          <w:bCs/>
        </w:rPr>
      </w:pPr>
      <w:r w:rsidRPr="004A3E09">
        <w:rPr>
          <w:b/>
          <w:bCs/>
        </w:rPr>
        <w:t xml:space="preserve">Ragusa, A. (2023). Effects of academic self-regulation on procrastination, academic anxiety and stress, academic resilience, and academic performance. </w:t>
      </w:r>
      <w:r w:rsidRPr="004A3E09">
        <w:rPr>
          <w:b/>
          <w:bCs/>
          <w:i/>
          <w:iCs/>
        </w:rPr>
        <w:t>Frontiers in Psychology, 14,</w:t>
      </w:r>
      <w:r w:rsidRPr="004A3E09">
        <w:rPr>
          <w:b/>
          <w:bCs/>
        </w:rPr>
        <w:t xml:space="preserve"> 1073529. </w:t>
      </w:r>
      <w:hyperlink r:id="rId8" w:tgtFrame="_new" w:history="1">
        <w:r w:rsidRPr="004A3E09">
          <w:rPr>
            <w:rStyle w:val="Hyperlink"/>
            <w:b/>
            <w:bCs/>
          </w:rPr>
          <w:t>https://doi.org/10.3389/fpsyg.2023.1073529</w:t>
        </w:r>
      </w:hyperlink>
    </w:p>
    <w:sectPr w:rsidR="004A3E09" w:rsidRPr="004A3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D54E3"/>
    <w:multiLevelType w:val="multilevel"/>
    <w:tmpl w:val="7E4A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25DB3"/>
    <w:multiLevelType w:val="multilevel"/>
    <w:tmpl w:val="BDAE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C10CC"/>
    <w:multiLevelType w:val="multilevel"/>
    <w:tmpl w:val="169A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50631F"/>
    <w:multiLevelType w:val="multilevel"/>
    <w:tmpl w:val="BFE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31A25"/>
    <w:multiLevelType w:val="multilevel"/>
    <w:tmpl w:val="616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949215">
    <w:abstractNumId w:val="0"/>
  </w:num>
  <w:num w:numId="2" w16cid:durableId="1763915274">
    <w:abstractNumId w:val="1"/>
  </w:num>
  <w:num w:numId="3" w16cid:durableId="1324696233">
    <w:abstractNumId w:val="2"/>
  </w:num>
  <w:num w:numId="4" w16cid:durableId="387151758">
    <w:abstractNumId w:val="4"/>
  </w:num>
  <w:num w:numId="5" w16cid:durableId="799494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07"/>
    <w:rsid w:val="001925F8"/>
    <w:rsid w:val="00320CB1"/>
    <w:rsid w:val="00391B83"/>
    <w:rsid w:val="004A3E09"/>
    <w:rsid w:val="0081452C"/>
    <w:rsid w:val="008B1A07"/>
    <w:rsid w:val="00B662B6"/>
    <w:rsid w:val="00D87AC3"/>
    <w:rsid w:val="00FA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72F3E"/>
  <w15:chartTrackingRefBased/>
  <w15:docId w15:val="{66686B20-7956-49A8-B50A-0D6859E8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1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1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A07"/>
    <w:rPr>
      <w:rFonts w:eastAsiaTheme="majorEastAsia" w:cstheme="majorBidi"/>
      <w:color w:val="272727" w:themeColor="text1" w:themeTint="D8"/>
    </w:rPr>
  </w:style>
  <w:style w:type="paragraph" w:styleId="Title">
    <w:name w:val="Title"/>
    <w:basedOn w:val="Normal"/>
    <w:next w:val="Normal"/>
    <w:link w:val="TitleChar"/>
    <w:uiPriority w:val="10"/>
    <w:qFormat/>
    <w:rsid w:val="008B1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A07"/>
    <w:pPr>
      <w:spacing w:before="160"/>
      <w:jc w:val="center"/>
    </w:pPr>
    <w:rPr>
      <w:i/>
      <w:iCs/>
      <w:color w:val="404040" w:themeColor="text1" w:themeTint="BF"/>
    </w:rPr>
  </w:style>
  <w:style w:type="character" w:customStyle="1" w:styleId="QuoteChar">
    <w:name w:val="Quote Char"/>
    <w:basedOn w:val="DefaultParagraphFont"/>
    <w:link w:val="Quote"/>
    <w:uiPriority w:val="29"/>
    <w:rsid w:val="008B1A07"/>
    <w:rPr>
      <w:i/>
      <w:iCs/>
      <w:color w:val="404040" w:themeColor="text1" w:themeTint="BF"/>
    </w:rPr>
  </w:style>
  <w:style w:type="paragraph" w:styleId="ListParagraph">
    <w:name w:val="List Paragraph"/>
    <w:basedOn w:val="Normal"/>
    <w:uiPriority w:val="34"/>
    <w:qFormat/>
    <w:rsid w:val="008B1A07"/>
    <w:pPr>
      <w:ind w:left="720"/>
      <w:contextualSpacing/>
    </w:pPr>
  </w:style>
  <w:style w:type="character" w:styleId="IntenseEmphasis">
    <w:name w:val="Intense Emphasis"/>
    <w:basedOn w:val="DefaultParagraphFont"/>
    <w:uiPriority w:val="21"/>
    <w:qFormat/>
    <w:rsid w:val="008B1A07"/>
    <w:rPr>
      <w:i/>
      <w:iCs/>
      <w:color w:val="0F4761" w:themeColor="accent1" w:themeShade="BF"/>
    </w:rPr>
  </w:style>
  <w:style w:type="paragraph" w:styleId="IntenseQuote">
    <w:name w:val="Intense Quote"/>
    <w:basedOn w:val="Normal"/>
    <w:next w:val="Normal"/>
    <w:link w:val="IntenseQuoteChar"/>
    <w:uiPriority w:val="30"/>
    <w:qFormat/>
    <w:rsid w:val="008B1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A07"/>
    <w:rPr>
      <w:i/>
      <w:iCs/>
      <w:color w:val="0F4761" w:themeColor="accent1" w:themeShade="BF"/>
    </w:rPr>
  </w:style>
  <w:style w:type="character" w:styleId="IntenseReference">
    <w:name w:val="Intense Reference"/>
    <w:basedOn w:val="DefaultParagraphFont"/>
    <w:uiPriority w:val="32"/>
    <w:qFormat/>
    <w:rsid w:val="008B1A07"/>
    <w:rPr>
      <w:b/>
      <w:bCs/>
      <w:smallCaps/>
      <w:color w:val="0F4761" w:themeColor="accent1" w:themeShade="BF"/>
      <w:spacing w:val="5"/>
    </w:rPr>
  </w:style>
  <w:style w:type="character" w:styleId="Hyperlink">
    <w:name w:val="Hyperlink"/>
    <w:basedOn w:val="DefaultParagraphFont"/>
    <w:uiPriority w:val="99"/>
    <w:unhideWhenUsed/>
    <w:rsid w:val="004A3E09"/>
    <w:rPr>
      <w:color w:val="467886" w:themeColor="hyperlink"/>
      <w:u w:val="single"/>
    </w:rPr>
  </w:style>
  <w:style w:type="character" w:styleId="UnresolvedMention">
    <w:name w:val="Unresolved Mention"/>
    <w:basedOn w:val="DefaultParagraphFont"/>
    <w:uiPriority w:val="99"/>
    <w:semiHidden/>
    <w:unhideWhenUsed/>
    <w:rsid w:val="004A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syg.2023.1073529" TargetMode="External"/><Relationship Id="rId3" Type="http://schemas.openxmlformats.org/officeDocument/2006/relationships/styles" Target="styles.xml"/><Relationship Id="rId7" Type="http://schemas.openxmlformats.org/officeDocument/2006/relationships/hyperlink" Target="https://doi.org/10.53555/kuey.v30i11.88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38/s41598-025-87664-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84DF-D6C3-4E5F-895B-DC312D6E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villaluna</dc:creator>
  <cp:keywords/>
  <dc:description/>
  <cp:lastModifiedBy>diane villaluna</cp:lastModifiedBy>
  <cp:revision>1</cp:revision>
  <dcterms:created xsi:type="dcterms:W3CDTF">2025-10-01T09:36:00Z</dcterms:created>
  <dcterms:modified xsi:type="dcterms:W3CDTF">2025-10-01T15:11:00Z</dcterms:modified>
</cp:coreProperties>
</file>