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D3" w:rsidRDefault="00EE0AD3" w:rsidP="000C1F1D">
      <w:pPr>
        <w:pStyle w:val="Listbulleted1"/>
      </w:pPr>
      <w:bookmarkStart w:id="0" w:name="OLE_LINK5"/>
      <w:bookmarkStart w:id="1" w:name="OLE_LINK6"/>
      <w:r>
        <w:t>Task 1. Flag all the suspicious values. (Outliers, repetitions, etc.) (spend max 15 minutes)</w:t>
      </w:r>
    </w:p>
    <w:p w:rsidR="00B06A67" w:rsidRDefault="00B06A67" w:rsidP="00B06A67"/>
    <w:p w:rsidR="00B06A67" w:rsidRPr="00CD00A2" w:rsidRDefault="00B06A67" w:rsidP="00B06A67">
      <w:pPr>
        <w:rPr>
          <w:b/>
        </w:rPr>
      </w:pPr>
      <w:r w:rsidRPr="00CD00A2">
        <w:rPr>
          <w:b/>
        </w:rPr>
        <w:t>Reporteddoses of MR1 for last year.</w:t>
      </w:r>
    </w:p>
    <w:p w:rsidR="00C22358" w:rsidRDefault="00C22358" w:rsidP="00C22358">
      <w:r w:rsidRPr="00A12CDA">
        <w:rPr>
          <w:noProof/>
          <w:lang w:val="en-US"/>
        </w:rPr>
        <w:drawing>
          <wp:inline distT="0" distB="0" distL="0" distR="0">
            <wp:extent cx="9543039" cy="3009900"/>
            <wp:effectExtent l="19050" t="0" r="1011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764" cy="301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58" w:rsidRDefault="00C22358" w:rsidP="00C22358"/>
    <w:p w:rsidR="00C22358" w:rsidRDefault="00EE0AD3" w:rsidP="00C22358">
      <w:r>
        <w:t>Observatuions:</w:t>
      </w:r>
    </w:p>
    <w:p w:rsidR="00C22358" w:rsidRDefault="00C22358" w:rsidP="00C22358"/>
    <w:p w:rsidR="00EE0AD3" w:rsidRPr="00EE0AD3" w:rsidRDefault="00EE0AD3" w:rsidP="00EE0AD3">
      <w:pPr>
        <w:rPr>
          <w:rFonts w:ascii="Cambria" w:eastAsia="Cambria" w:hAnsi="Cambria" w:cs="Cambria"/>
          <w:color w:val="365F91" w:themeColor="accent1" w:themeShade="BF"/>
          <w:highlight w:val="yellow"/>
        </w:rPr>
      </w:pPr>
      <w:r>
        <w:rPr>
          <w:rFonts w:ascii="Cambria" w:eastAsia="Cambria" w:hAnsi="Cambria" w:cs="Cambria"/>
          <w:color w:val="365F91" w:themeColor="accent1" w:themeShade="BF"/>
        </w:rPr>
        <w:t xml:space="preserve">1: </w:t>
      </w:r>
      <w:r w:rsidRPr="00C72346">
        <w:rPr>
          <w:rFonts w:ascii="Cambria" w:eastAsia="Cambria" w:hAnsi="Cambria" w:cs="Cambria"/>
          <w:color w:val="365F91" w:themeColor="accent1" w:themeShade="BF"/>
        </w:rPr>
        <w:t xml:space="preserve">Feb &amp; Mar is the same data </w:t>
      </w:r>
      <w:r w:rsidRPr="00EE0AD3">
        <w:rPr>
          <w:rFonts w:ascii="Cambria" w:eastAsia="Cambria" w:hAnsi="Cambria" w:cs="Cambria"/>
          <w:color w:val="365F91" w:themeColor="accent1" w:themeShade="BF"/>
          <w:highlight w:val="yellow"/>
        </w:rPr>
        <w:t xml:space="preserve"> </w:t>
      </w:r>
    </w:p>
    <w:p w:rsidR="00EE0AD3" w:rsidRDefault="00EE0AD3" w:rsidP="00EE0AD3">
      <w:pPr>
        <w:rPr>
          <w:rFonts w:ascii="Cambria" w:eastAsia="Cambria" w:hAnsi="Cambria" w:cs="Cambria"/>
          <w:color w:val="365F91" w:themeColor="accent1" w:themeShade="BF"/>
        </w:rPr>
      </w:pPr>
      <w:r w:rsidRPr="00EE0AD3">
        <w:rPr>
          <w:rFonts w:ascii="Cambria" w:eastAsia="Cambria" w:hAnsi="Cambria" w:cs="Cambria"/>
          <w:color w:val="365F91" w:themeColor="accent1" w:themeShade="BF"/>
        </w:rPr>
        <w:t>2:</w:t>
      </w:r>
      <w:r>
        <w:rPr>
          <w:rFonts w:ascii="Cambria" w:eastAsia="Cambria" w:hAnsi="Cambria" w:cs="Cambria"/>
          <w:color w:val="365F91" w:themeColor="accent1" w:themeShade="BF"/>
        </w:rPr>
        <w:t>S</w:t>
      </w:r>
      <w:r w:rsidRPr="00EE0AD3">
        <w:rPr>
          <w:rFonts w:ascii="Cambria" w:eastAsia="Cambria" w:hAnsi="Cambria" w:cs="Cambria"/>
          <w:color w:val="365F91" w:themeColor="accent1" w:themeShade="BF"/>
        </w:rPr>
        <w:t>september coverage of District 1 is very low</w:t>
      </w:r>
    </w:p>
    <w:p w:rsidR="005D361B" w:rsidRPr="00C72346" w:rsidRDefault="00EE0AD3" w:rsidP="005D361B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3: District 3 May and Nov coverage very high</w:t>
      </w:r>
    </w:p>
    <w:p w:rsidR="00EE0AD3" w:rsidRPr="00C72346" w:rsidRDefault="005D361B" w:rsidP="005D361B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4: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 xml:space="preserve">District 4 May too high  </w:t>
      </w:r>
    </w:p>
    <w:p w:rsidR="005D361B" w:rsidRDefault="005D361B" w:rsidP="005D361B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5: district 5 seems OK</w:t>
      </w:r>
    </w:p>
    <w:p w:rsidR="005D361B" w:rsidRDefault="005D361B" w:rsidP="005D361B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6: District 6:low coverage</w:t>
      </w:r>
    </w:p>
    <w:p w:rsidR="005D361B" w:rsidRPr="00C72346" w:rsidRDefault="005D361B" w:rsidP="005D361B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7:District 7: drop outs in May and June</w:t>
      </w:r>
    </w:p>
    <w:p w:rsidR="00EE0AD3" w:rsidRPr="00C72346" w:rsidRDefault="005D361B" w:rsidP="005D361B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8: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>District 8</w:t>
      </w:r>
      <w:r>
        <w:rPr>
          <w:rFonts w:ascii="Cambria" w:eastAsia="Cambria" w:hAnsi="Cambria" w:cs="Cambria"/>
          <w:color w:val="365F91" w:themeColor="accent1" w:themeShade="BF"/>
        </w:rPr>
        <w:t>:S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 xml:space="preserve">ep &amp; oct </w:t>
      </w:r>
      <w:r>
        <w:rPr>
          <w:rFonts w:ascii="Cambria" w:eastAsia="Cambria" w:hAnsi="Cambria" w:cs="Cambria"/>
          <w:color w:val="365F91" w:themeColor="accent1" w:themeShade="BF"/>
        </w:rPr>
        <w:t>low coverage or drop outs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 xml:space="preserve"> </w:t>
      </w:r>
    </w:p>
    <w:p w:rsidR="00EE0AD3" w:rsidRPr="00C72346" w:rsidRDefault="005D361B" w:rsidP="005D361B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9: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>District 9 Oct is low</w:t>
      </w:r>
      <w:r>
        <w:rPr>
          <w:rFonts w:ascii="Cambria" w:eastAsia="Cambria" w:hAnsi="Cambria" w:cs="Cambria"/>
          <w:color w:val="365F91" w:themeColor="accent1" w:themeShade="BF"/>
        </w:rPr>
        <w:t xml:space="preserve"> coverage</w:t>
      </w:r>
    </w:p>
    <w:p w:rsidR="00EE0AD3" w:rsidRDefault="005D361B" w:rsidP="005D361B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10: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 xml:space="preserve">District 10 </w:t>
      </w:r>
      <w:r>
        <w:rPr>
          <w:rFonts w:ascii="Cambria" w:eastAsia="Cambria" w:hAnsi="Cambria" w:cs="Cambria"/>
          <w:color w:val="365F91" w:themeColor="accent1" w:themeShade="BF"/>
        </w:rPr>
        <w:t>may and December may be shortage of vaccine</w:t>
      </w:r>
    </w:p>
    <w:p w:rsidR="00691EE7" w:rsidRPr="00C72346" w:rsidRDefault="00691EE7" w:rsidP="00691EE7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lastRenderedPageBreak/>
        <w:t>11:District11:june drop outs</w:t>
      </w:r>
    </w:p>
    <w:p w:rsidR="00EE0AD3" w:rsidRPr="00C72346" w:rsidRDefault="00691EE7" w:rsidP="00691EE7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 xml:space="preserve">12: 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 xml:space="preserve">District </w:t>
      </w:r>
      <w:r>
        <w:rPr>
          <w:rFonts w:ascii="Cambria" w:eastAsia="Cambria" w:hAnsi="Cambria" w:cs="Cambria"/>
          <w:color w:val="365F91" w:themeColor="accent1" w:themeShade="BF"/>
        </w:rPr>
        <w:t xml:space="preserve">11 and 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 xml:space="preserve">12 </w:t>
      </w:r>
      <w:r>
        <w:rPr>
          <w:rFonts w:ascii="Cambria" w:eastAsia="Cambria" w:hAnsi="Cambria" w:cs="Cambria"/>
          <w:color w:val="365F91" w:themeColor="accent1" w:themeShade="BF"/>
        </w:rPr>
        <w:t>same data in in Jan and Feb may be fake reportSeptember missing reports</w:t>
      </w:r>
    </w:p>
    <w:p w:rsidR="00EE0AD3" w:rsidRDefault="00691EE7" w:rsidP="00691EE7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13: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 xml:space="preserve">Distritc 13 </w:t>
      </w:r>
      <w:r>
        <w:rPr>
          <w:rFonts w:ascii="Cambria" w:eastAsia="Cambria" w:hAnsi="Cambria" w:cs="Cambria"/>
          <w:color w:val="365F91" w:themeColor="accent1" w:themeShade="BF"/>
        </w:rPr>
        <w:t>m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>a</w:t>
      </w:r>
      <w:r>
        <w:rPr>
          <w:rFonts w:ascii="Cambria" w:eastAsia="Cambria" w:hAnsi="Cambria" w:cs="Cambria"/>
          <w:color w:val="365F91" w:themeColor="accent1" w:themeShade="BF"/>
        </w:rPr>
        <w:t>ch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 xml:space="preserve"> ,</w:t>
      </w:r>
      <w:r>
        <w:rPr>
          <w:rFonts w:ascii="Cambria" w:eastAsia="Cambria" w:hAnsi="Cambria" w:cs="Cambria"/>
          <w:color w:val="365F91" w:themeColor="accent1" w:themeShade="BF"/>
        </w:rPr>
        <w:t>m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>ay ,</w:t>
      </w:r>
      <w:r>
        <w:rPr>
          <w:rFonts w:ascii="Cambria" w:eastAsia="Cambria" w:hAnsi="Cambria" w:cs="Cambria"/>
          <w:color w:val="365F91" w:themeColor="accent1" w:themeShade="BF"/>
        </w:rPr>
        <w:t>j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>une,</w:t>
      </w:r>
      <w:r>
        <w:rPr>
          <w:rFonts w:ascii="Cambria" w:eastAsia="Cambria" w:hAnsi="Cambria" w:cs="Cambria"/>
          <w:color w:val="365F91" w:themeColor="accent1" w:themeShade="BF"/>
        </w:rPr>
        <w:t>n</w:t>
      </w:r>
      <w:r w:rsidR="00EE0AD3" w:rsidRPr="00C72346">
        <w:rPr>
          <w:rFonts w:ascii="Cambria" w:eastAsia="Cambria" w:hAnsi="Cambria" w:cs="Cambria"/>
          <w:color w:val="365F91" w:themeColor="accent1" w:themeShade="BF"/>
        </w:rPr>
        <w:t>ov  missed reporting</w:t>
      </w:r>
    </w:p>
    <w:p w:rsidR="00691EE7" w:rsidRDefault="00691EE7" w:rsidP="00691EE7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14: district 14 june july August low coverage may be missing reports</w:t>
      </w:r>
    </w:p>
    <w:p w:rsidR="00691EE7" w:rsidRPr="00C72346" w:rsidRDefault="00691EE7" w:rsidP="00EE0AD3">
      <w:pPr>
        <w:rPr>
          <w:rFonts w:ascii="Cambria" w:eastAsia="Cambria" w:hAnsi="Cambria" w:cs="Cambria"/>
          <w:color w:val="365F91" w:themeColor="accent1" w:themeShade="BF"/>
        </w:rPr>
      </w:pPr>
      <w:r>
        <w:rPr>
          <w:rFonts w:ascii="Cambria" w:eastAsia="Cambria" w:hAnsi="Cambria" w:cs="Cambria"/>
          <w:color w:val="365F91" w:themeColor="accent1" w:themeShade="BF"/>
        </w:rPr>
        <w:t>15: District 15 Feb march missing reports</w:t>
      </w:r>
    </w:p>
    <w:p w:rsidR="00C22358" w:rsidRDefault="00C22358" w:rsidP="00C22358"/>
    <w:p w:rsidR="00C22358" w:rsidRDefault="00C22358" w:rsidP="00C22358"/>
    <w:p w:rsidR="00584F01" w:rsidRDefault="00584F01" w:rsidP="00C22358"/>
    <w:p w:rsidR="00584F01" w:rsidRDefault="00584F01" w:rsidP="00C22358"/>
    <w:p w:rsidR="00584F01" w:rsidRDefault="00584F01" w:rsidP="00C22358"/>
    <w:p w:rsidR="00584F01" w:rsidRDefault="00584F01" w:rsidP="00C22358"/>
    <w:p w:rsidR="00584F01" w:rsidRDefault="00584F01" w:rsidP="00C22358"/>
    <w:p w:rsidR="00584F01" w:rsidRDefault="00584F01" w:rsidP="00C22358"/>
    <w:p w:rsidR="00C22358" w:rsidRDefault="00584F01" w:rsidP="00584F01">
      <w:r>
        <w:t>Task 2:</w:t>
      </w:r>
    </w:p>
    <w:p w:rsidR="00352BAD" w:rsidRDefault="00352BAD" w:rsidP="00C22358">
      <w:pPr>
        <w:sectPr w:rsidR="00352BAD" w:rsidSect="00C22358">
          <w:footerReference w:type="default" r:id="rId9"/>
          <w:headerReference w:type="first" r:id="rId10"/>
          <w:footerReference w:type="first" r:id="rId11"/>
          <w:pgSz w:w="16840" w:h="11900" w:orient="landscape"/>
          <w:pgMar w:top="1134" w:right="993" w:bottom="1134" w:left="567" w:header="708" w:footer="708" w:gutter="0"/>
          <w:cols w:space="708"/>
          <w:titlePg/>
          <w:docGrid w:linePitch="360"/>
        </w:sectPr>
      </w:pPr>
    </w:p>
    <w:p w:rsidR="00C22358" w:rsidRPr="00CD00A2" w:rsidRDefault="0066438C" w:rsidP="00C22358">
      <w:pPr>
        <w:rPr>
          <w:b/>
        </w:rPr>
      </w:pPr>
      <w:r w:rsidRPr="00CD00A2">
        <w:rPr>
          <w:b/>
        </w:rPr>
        <w:lastRenderedPageBreak/>
        <w:t>National and subnational coverage for MR1</w:t>
      </w:r>
    </w:p>
    <w:p w:rsidR="00C22358" w:rsidRDefault="00C22358" w:rsidP="00C22358">
      <w:r w:rsidRPr="001677E3">
        <w:rPr>
          <w:noProof/>
          <w:lang w:val="en-US"/>
        </w:rPr>
        <w:drawing>
          <wp:inline distT="0" distB="0" distL="0" distR="0">
            <wp:extent cx="5507355" cy="1913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26" w:rsidRDefault="009B6326" w:rsidP="00C22358"/>
    <w:p w:rsidR="009B6326" w:rsidRDefault="009B6326" w:rsidP="009B6326"/>
    <w:p w:rsidR="00F05B6D" w:rsidRPr="009B6326" w:rsidRDefault="009B6326" w:rsidP="00584F01">
      <w:r>
        <w:t>National ans sub national dat shows mild variations as if data enterted is manupulated</w:t>
      </w:r>
    </w:p>
    <w:p w:rsidR="00C22358" w:rsidRDefault="00AD4FB1">
      <w:bookmarkStart w:id="2" w:name="_GoBack"/>
      <w:bookmarkEnd w:id="2"/>
      <w:r>
        <w:rPr>
          <w:noProof/>
          <w:lang w:val="en-US"/>
        </w:rPr>
        <w:lastRenderedPageBreak/>
        <w:drawing>
          <wp:inline distT="0" distB="0" distL="0" distR="0">
            <wp:extent cx="4584700" cy="2944495"/>
            <wp:effectExtent l="0" t="0" r="635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2358">
        <w:br w:type="page"/>
      </w:r>
    </w:p>
    <w:p w:rsidR="00C22358" w:rsidRDefault="00C22358" w:rsidP="00AD4FB1">
      <w:pPr>
        <w:tabs>
          <w:tab w:val="left" w:pos="14460"/>
        </w:tabs>
      </w:pPr>
      <w:r w:rsidRPr="00F62A32">
        <w:rPr>
          <w:noProof/>
          <w:lang w:val="en-US"/>
        </w:rPr>
        <w:lastRenderedPageBreak/>
        <w:drawing>
          <wp:inline distT="0" distB="0" distL="0" distR="0">
            <wp:extent cx="8067675" cy="3371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840"/>
                    <a:stretch/>
                  </pic:blipFill>
                  <pic:spPr bwMode="auto">
                    <a:xfrm>
                      <a:off x="0" y="0"/>
                      <a:ext cx="80676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AD4FB1">
        <w:rPr>
          <w:noProof/>
        </w:rPr>
        <w:tab/>
      </w:r>
    </w:p>
    <w:p w:rsidR="00C22358" w:rsidRDefault="00C22358" w:rsidP="00C22358"/>
    <w:p w:rsidR="00C22358" w:rsidRDefault="00C22358" w:rsidP="0066438C">
      <w:pPr>
        <w:spacing w:after="200" w:line="276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C22358" w:rsidRDefault="00C22358" w:rsidP="00C22358">
      <w:r>
        <w:br w:type="page"/>
      </w:r>
    </w:p>
    <w:p w:rsidR="00352463" w:rsidRDefault="00352463" w:rsidP="00352BAD">
      <w:pPr>
        <w:rPr>
          <w:b/>
        </w:rPr>
      </w:pPr>
    </w:p>
    <w:p w:rsidR="00352463" w:rsidRDefault="00352463" w:rsidP="000C1F1D">
      <w:pPr>
        <w:pStyle w:val="Listbulleted1"/>
      </w:pPr>
      <w:r>
        <w:t>Task 3. Review coverage evaluation survey data. You remember that in 2013,  there was a coverage evaluation survey. You pull up the data for that. Does this change your view about coverage at national level? For any of the regions?</w:t>
      </w:r>
      <w:r>
        <w:t> </w:t>
      </w:r>
    </w:p>
    <w:p w:rsidR="00352463" w:rsidRDefault="00352463" w:rsidP="003A4C66">
      <w:pPr>
        <w:rPr>
          <w:b/>
        </w:rPr>
      </w:pPr>
      <w:r>
        <w:rPr>
          <w:b/>
        </w:rPr>
        <w:t>In 2016 national coverage seems low it does not include growth rate,coverage increases in 2014</w:t>
      </w:r>
      <w:r w:rsidR="003A4C66">
        <w:rPr>
          <w:b/>
        </w:rPr>
        <w:t xml:space="preserve"> a</w:t>
      </w:r>
      <w:r>
        <w:rPr>
          <w:b/>
        </w:rPr>
        <w:t>nd 2015, again decrese in 2016, may be due to impact of coverage analyisi survey for two years</w:t>
      </w:r>
    </w:p>
    <w:p w:rsidR="00352463" w:rsidRDefault="00352463" w:rsidP="00352BAD">
      <w:pPr>
        <w:rPr>
          <w:b/>
        </w:rPr>
      </w:pPr>
    </w:p>
    <w:p w:rsidR="00352463" w:rsidRDefault="00352463" w:rsidP="00352BAD">
      <w:pPr>
        <w:rPr>
          <w:b/>
        </w:rPr>
      </w:pPr>
    </w:p>
    <w:p w:rsidR="00352463" w:rsidRDefault="00352463" w:rsidP="00352BAD">
      <w:pPr>
        <w:rPr>
          <w:b/>
        </w:rPr>
      </w:pPr>
    </w:p>
    <w:p w:rsidR="00C22358" w:rsidRPr="0066438C" w:rsidRDefault="0066438C" w:rsidP="00352BAD">
      <w:pPr>
        <w:rPr>
          <w:b/>
        </w:rPr>
      </w:pPr>
      <w:r w:rsidRPr="0066438C">
        <w:rPr>
          <w:b/>
        </w:rPr>
        <w:t>Coverageevaluationsurvey data</w:t>
      </w:r>
      <w:r w:rsidR="00C22358" w:rsidRPr="0066438C">
        <w:rPr>
          <w:b/>
        </w:rPr>
        <w:t xml:space="preserve">. </w:t>
      </w:r>
    </w:p>
    <w:p w:rsidR="00C22358" w:rsidRDefault="009728A7" w:rsidP="00C22358">
      <w:r>
        <w:fldChar w:fldCharType="begin"/>
      </w:r>
      <w:r w:rsidR="00C22358">
        <w:instrText xml:space="preserve"> LINK </w:instrText>
      </w:r>
      <w:r w:rsidR="00D540AD">
        <w:instrText xml:space="preserve">Excel.Sheet.12 "D:\\Dropbox\\1 WHO\\DQ\\Data Desk Review Exercise SEARO.xlsx" Triangulation!R6C1:R16C4 </w:instrText>
      </w:r>
      <w:r w:rsidR="00C22358">
        <w:instrText xml:space="preserve">\a \f 5 \h  \* MERGEFORMAT </w:instrText>
      </w:r>
      <w:r>
        <w:fldChar w:fldCharType="separate"/>
      </w:r>
    </w:p>
    <w:tbl>
      <w:tblPr>
        <w:tblStyle w:val="TableGrid"/>
        <w:tblW w:w="6345" w:type="dxa"/>
        <w:tblLook w:val="04A0"/>
      </w:tblPr>
      <w:tblGrid>
        <w:gridCol w:w="2560"/>
        <w:gridCol w:w="1121"/>
        <w:gridCol w:w="1228"/>
        <w:gridCol w:w="1559"/>
      </w:tblGrid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>2013 DHS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 </w:t>
            </w:r>
          </w:p>
        </w:tc>
        <w:tc>
          <w:tcPr>
            <w:tcW w:w="2787" w:type="dxa"/>
            <w:gridSpan w:val="2"/>
            <w:noWrap/>
            <w:hideMark/>
          </w:tcPr>
          <w:p w:rsidR="00C22358" w:rsidRPr="00650C3F" w:rsidRDefault="00C22358" w:rsidP="00EE0AD3">
            <w:r w:rsidRPr="00650C3F">
              <w:t>95% Confidende Interval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>MR1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Estimate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Lower Limit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Upper Limit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>Alu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83.1%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75.6%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90.6%</w:t>
            </w:r>
          </w:p>
        </w:tc>
      </w:tr>
      <w:tr w:rsidR="00C22358" w:rsidRPr="00650C3F" w:rsidTr="00EE0AD3">
        <w:trPr>
          <w:trHeight w:val="315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>Eastan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92.5%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87.0%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98.1%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>Grandtown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89.0%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B63B95" w:rsidP="00EE0AD3">
            <w:r>
              <w:t>84</w:t>
            </w:r>
            <w:r w:rsidR="00C22358" w:rsidRPr="00650C3F">
              <w:t>.1%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B63B95" w:rsidP="00EE0AD3">
            <w:r>
              <w:t>94</w:t>
            </w:r>
            <w:r w:rsidR="00C22358" w:rsidRPr="00650C3F">
              <w:t>.9%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 xml:space="preserve"> Nemo 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91.9%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78.1%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100.0%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 xml:space="preserve"> Remo 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84.6%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77.8%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91.4%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>Chello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93.6%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85.2%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100.0%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>Grandtan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82.1%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73.1%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91.1%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r w:rsidRPr="00650C3F">
              <w:t>Westtan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r w:rsidRPr="00650C3F">
              <w:t>92.4%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81.3%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100.0%</w:t>
            </w:r>
          </w:p>
        </w:tc>
      </w:tr>
      <w:tr w:rsidR="00C22358" w:rsidRPr="00650C3F" w:rsidTr="00EE0AD3">
        <w:trPr>
          <w:trHeight w:val="300"/>
        </w:trPr>
        <w:tc>
          <w:tcPr>
            <w:tcW w:w="2560" w:type="dxa"/>
            <w:noWrap/>
            <w:hideMark/>
          </w:tcPr>
          <w:p w:rsidR="00C22358" w:rsidRPr="00650C3F" w:rsidRDefault="00C22358" w:rsidP="00EE0AD3">
            <w:pPr>
              <w:rPr>
                <w:b/>
                <w:bCs/>
              </w:rPr>
            </w:pPr>
            <w:r w:rsidRPr="00650C3F">
              <w:rPr>
                <w:b/>
                <w:bCs/>
              </w:rPr>
              <w:t>National</w:t>
            </w:r>
          </w:p>
        </w:tc>
        <w:tc>
          <w:tcPr>
            <w:tcW w:w="998" w:type="dxa"/>
            <w:noWrap/>
            <w:hideMark/>
          </w:tcPr>
          <w:p w:rsidR="00C22358" w:rsidRPr="00650C3F" w:rsidRDefault="00C22358" w:rsidP="00EE0AD3">
            <w:pPr>
              <w:rPr>
                <w:b/>
                <w:bCs/>
              </w:rPr>
            </w:pPr>
            <w:r w:rsidRPr="00650C3F">
              <w:rPr>
                <w:b/>
                <w:bCs/>
              </w:rPr>
              <w:t>89.2%</w:t>
            </w:r>
          </w:p>
        </w:tc>
        <w:tc>
          <w:tcPr>
            <w:tcW w:w="1228" w:type="dxa"/>
            <w:noWrap/>
            <w:hideMark/>
          </w:tcPr>
          <w:p w:rsidR="00C22358" w:rsidRPr="00650C3F" w:rsidRDefault="00C22358" w:rsidP="00EE0AD3">
            <w:r w:rsidRPr="00650C3F">
              <w:t>86.5%</w:t>
            </w:r>
          </w:p>
        </w:tc>
        <w:tc>
          <w:tcPr>
            <w:tcW w:w="1559" w:type="dxa"/>
            <w:noWrap/>
            <w:hideMark/>
          </w:tcPr>
          <w:p w:rsidR="00C22358" w:rsidRPr="00650C3F" w:rsidRDefault="00C22358" w:rsidP="00EE0AD3">
            <w:r w:rsidRPr="00650C3F">
              <w:t>91.9%</w:t>
            </w:r>
          </w:p>
        </w:tc>
      </w:tr>
    </w:tbl>
    <w:p w:rsidR="0066438C" w:rsidRDefault="009728A7" w:rsidP="00C22358">
      <w:r>
        <w:fldChar w:fldCharType="end"/>
      </w:r>
    </w:p>
    <w:p w:rsidR="00C22358" w:rsidRDefault="00C22358" w:rsidP="00C22358">
      <w:r>
        <w:t xml:space="preserve">Note: the surveyfound no meaningful differences in coverage among ethnic groups. However, the poorest were significantly less likely to be vaccinated. </w:t>
      </w:r>
    </w:p>
    <w:p w:rsidR="00C22358" w:rsidRDefault="00C22358" w:rsidP="00C22358"/>
    <w:p w:rsidR="00352BAD" w:rsidRDefault="00352BAD">
      <w:r>
        <w:br w:type="page"/>
      </w:r>
    </w:p>
    <w:p w:rsidR="00352463" w:rsidRDefault="00352463" w:rsidP="000C1F1D">
      <w:pPr>
        <w:pStyle w:val="Listbulleted1"/>
      </w:pPr>
      <w:r>
        <w:lastRenderedPageBreak/>
        <w:t>Task 4</w:t>
      </w:r>
      <w:r w:rsidRPr="00352463">
        <w:t xml:space="preserve"> </w:t>
      </w:r>
      <w:r>
        <w:t>Review the chart with the age distribution of measles cases. Does that tell you anything additional about coverage?</w:t>
      </w:r>
    </w:p>
    <w:p w:rsidR="00352463" w:rsidRDefault="00352463" w:rsidP="000C1F1D">
      <w:pPr>
        <w:pStyle w:val="Listbulleted1"/>
      </w:pPr>
    </w:p>
    <w:p w:rsidR="00352463" w:rsidRDefault="00352463" w:rsidP="000C1F1D">
      <w:pPr>
        <w:pStyle w:val="Listbulleted1"/>
      </w:pPr>
    </w:p>
    <w:p w:rsidR="00352463" w:rsidRPr="00352463" w:rsidRDefault="00352463" w:rsidP="0066438C">
      <w:pPr>
        <w:rPr>
          <w:b/>
          <w:lang w:val="en-US"/>
        </w:rPr>
      </w:pPr>
    </w:p>
    <w:p w:rsidR="00352463" w:rsidRDefault="00352463" w:rsidP="0066438C">
      <w:pPr>
        <w:rPr>
          <w:b/>
        </w:rPr>
      </w:pPr>
    </w:p>
    <w:p w:rsidR="00352463" w:rsidRDefault="00352463" w:rsidP="0066438C">
      <w:pPr>
        <w:rPr>
          <w:b/>
        </w:rPr>
      </w:pPr>
    </w:p>
    <w:p w:rsidR="00352463" w:rsidRDefault="00352463" w:rsidP="0066438C">
      <w:pPr>
        <w:rPr>
          <w:b/>
        </w:rPr>
      </w:pPr>
    </w:p>
    <w:p w:rsidR="00352463" w:rsidRDefault="00352463" w:rsidP="0066438C">
      <w:pPr>
        <w:rPr>
          <w:b/>
        </w:rPr>
      </w:pPr>
    </w:p>
    <w:p w:rsidR="00C22358" w:rsidRPr="00F756CD" w:rsidRDefault="0066438C" w:rsidP="0066438C">
      <w:pPr>
        <w:rPr>
          <w:b/>
        </w:rPr>
      </w:pPr>
      <w:r w:rsidRPr="00F756CD">
        <w:rPr>
          <w:b/>
        </w:rPr>
        <w:t>Age d</w:t>
      </w:r>
      <w:r w:rsidR="00B06A67" w:rsidRPr="00F756CD">
        <w:rPr>
          <w:b/>
        </w:rPr>
        <w:t>istribution of measles cases</w:t>
      </w:r>
    </w:p>
    <w:p w:rsidR="00352BAD" w:rsidRDefault="00352BAD" w:rsidP="00C22358"/>
    <w:p w:rsidR="00C22358" w:rsidRDefault="00C22358" w:rsidP="00C22358">
      <w:r>
        <w:rPr>
          <w:noProof/>
          <w:lang w:val="en-US"/>
        </w:rPr>
        <w:drawing>
          <wp:inline distT="0" distB="0" distL="0" distR="0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22358" w:rsidRDefault="00C22358" w:rsidP="00C22358"/>
    <w:p w:rsidR="002B3E4E" w:rsidRDefault="00BF1CCD" w:rsidP="0073571C">
      <w:pPr>
        <w:shd w:val="clear" w:color="auto" w:fill="FFFFFF" w:themeFill="background1"/>
        <w:rPr>
          <w:rFonts w:asciiTheme="majorHAnsi" w:hAnsiTheme="majorHAnsi" w:cstheme="majorHAnsi"/>
          <w:b/>
          <w:sz w:val="28"/>
          <w:szCs w:val="28"/>
          <w:highlight w:val="yellow"/>
          <w:lang w:val="en-GB"/>
        </w:rPr>
      </w:pPr>
      <w:r w:rsidRPr="00BF1CCD">
        <w:rPr>
          <w:rFonts w:asciiTheme="majorHAnsi" w:hAnsiTheme="majorHAnsi" w:cstheme="majorHAnsi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457700" cy="2743200"/>
            <wp:effectExtent l="19050" t="0" r="19050" b="0"/>
            <wp:docPr id="1" name="Chart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22358" w:rsidRPr="00DF7D8B" w:rsidRDefault="00DF7D8B" w:rsidP="003A4C66">
      <w:pPr>
        <w:shd w:val="clear" w:color="auto" w:fill="FFFFFF" w:themeFill="background1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DF7D8B">
        <w:rPr>
          <w:rFonts w:asciiTheme="majorHAnsi" w:hAnsiTheme="majorHAnsi" w:cstheme="majorHAnsi"/>
          <w:b/>
          <w:sz w:val="28"/>
          <w:szCs w:val="28"/>
          <w:lang w:val="en-GB"/>
        </w:rPr>
        <w:t xml:space="preserve">Age distribution of measles cases </w:t>
      </w:r>
      <w:r w:rsidR="00C15DCD" w:rsidRPr="00DF7D8B">
        <w:rPr>
          <w:rFonts w:asciiTheme="majorHAnsi" w:hAnsiTheme="majorHAnsi" w:cstheme="majorHAnsi"/>
          <w:b/>
          <w:sz w:val="28"/>
          <w:szCs w:val="28"/>
          <w:lang w:val="en-GB"/>
        </w:rPr>
        <w:t>sho</w:t>
      </w:r>
      <w:r w:rsidR="00C15DCD">
        <w:rPr>
          <w:rFonts w:asciiTheme="majorHAnsi" w:hAnsiTheme="majorHAnsi" w:cstheme="majorHAnsi"/>
          <w:b/>
          <w:sz w:val="28"/>
          <w:szCs w:val="28"/>
          <w:lang w:val="en-GB"/>
        </w:rPr>
        <w:t>ws</w:t>
      </w:r>
      <w:r w:rsidRPr="00DF7D8B">
        <w:rPr>
          <w:rFonts w:asciiTheme="majorHAnsi" w:hAnsiTheme="majorHAnsi" w:cstheme="majorHAnsi"/>
          <w:b/>
          <w:sz w:val="28"/>
          <w:szCs w:val="28"/>
          <w:lang w:val="en-GB"/>
        </w:rPr>
        <w:t xml:space="preserve"> children are covered only during SIAs not during routine immunizations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 because under one year coverage is only 10%</w:t>
      </w:r>
      <w:r w:rsidR="00ED63BF">
        <w:rPr>
          <w:rFonts w:asciiTheme="majorHAnsi" w:hAnsiTheme="majorHAnsi" w:cstheme="majorHAnsi"/>
          <w:b/>
          <w:sz w:val="28"/>
          <w:szCs w:val="28"/>
          <w:lang w:val="en-GB"/>
        </w:rPr>
        <w:t>.in 2012 measles confirmed cases were highest</w:t>
      </w:r>
    </w:p>
    <w:p w:rsidR="00C22358" w:rsidRPr="00DF7D8B" w:rsidRDefault="00C22358" w:rsidP="0073571C">
      <w:pPr>
        <w:shd w:val="clear" w:color="auto" w:fill="FFFFFF" w:themeFill="background1"/>
        <w:rPr>
          <w:rFonts w:asciiTheme="majorHAnsi" w:hAnsiTheme="majorHAnsi" w:cstheme="majorHAnsi"/>
          <w:b/>
          <w:sz w:val="28"/>
          <w:szCs w:val="28"/>
          <w:lang w:val="en-GB"/>
        </w:rPr>
      </w:pPr>
    </w:p>
    <w:bookmarkEnd w:id="0"/>
    <w:bookmarkEnd w:id="1"/>
    <w:p w:rsidR="00F420A5" w:rsidRDefault="00F420A5" w:rsidP="0066438C">
      <w:pPr>
        <w:rPr>
          <w:rFonts w:asciiTheme="majorHAnsi" w:hAnsiTheme="majorHAnsi" w:cstheme="majorHAnsi"/>
          <w:b/>
          <w:sz w:val="28"/>
          <w:szCs w:val="28"/>
          <w:highlight w:val="yellow"/>
          <w:lang w:val="en-GB"/>
        </w:rPr>
      </w:pPr>
    </w:p>
    <w:p w:rsidR="00ED63BF" w:rsidRPr="000C1F1D" w:rsidRDefault="00ED63BF" w:rsidP="00ED63BF">
      <w:pPr>
        <w:pStyle w:val="Heading2"/>
        <w:rPr>
          <w:b/>
          <w:bCs/>
          <w:u w:val="single"/>
        </w:rPr>
      </w:pPr>
      <w:r w:rsidRPr="000C1F1D">
        <w:rPr>
          <w:b/>
          <w:bCs/>
          <w:u w:val="single"/>
        </w:rPr>
        <w:t>Part 2. Brief the Minister</w:t>
      </w:r>
    </w:p>
    <w:p w:rsidR="000C1F1D" w:rsidRPr="000C1F1D" w:rsidRDefault="000C1F1D" w:rsidP="000C1F1D"/>
    <w:p w:rsidR="00ED63BF" w:rsidRDefault="00ED63BF" w:rsidP="000C1F1D">
      <w:pPr>
        <w:pStyle w:val="Listbulleted1"/>
      </w:pPr>
      <w:r>
        <w:t>Task 5. Brief the Minister (spend max 1/2 hour on this section). Summarize the situation in three bullet points.</w:t>
      </w:r>
    </w:p>
    <w:p w:rsidR="003A4C66" w:rsidRDefault="003A4C66" w:rsidP="003A4C66">
      <w:pPr>
        <w:pStyle w:val="Listbulleted1"/>
        <w:rPr>
          <w:rFonts w:eastAsia="MS Gothic"/>
          <w:u w:val="none"/>
        </w:rPr>
      </w:pPr>
      <w:r w:rsidRPr="003A4C66">
        <w:rPr>
          <w:rFonts w:eastAsia="MS Gothic"/>
          <w:u w:val="none"/>
        </w:rPr>
        <w:t>There is much data discrepancy  in Grandten and Westine, vaccine dosage usage and coverage and survival of infants dose not match</w:t>
      </w:r>
      <w:r>
        <w:rPr>
          <w:rFonts w:eastAsia="MS Gothic"/>
          <w:u w:val="none"/>
        </w:rPr>
        <w:t>, valid reason of outbreak is</w:t>
      </w:r>
      <w:r w:rsidR="00C15DCD">
        <w:rPr>
          <w:rFonts w:eastAsia="MS Gothic"/>
          <w:u w:val="none"/>
        </w:rPr>
        <w:t xml:space="preserve"> failure to reach for vaccination.</w:t>
      </w:r>
    </w:p>
    <w:p w:rsidR="003A4C66" w:rsidRPr="003A4C66" w:rsidRDefault="00C15DCD" w:rsidP="00C15DCD">
      <w:pPr>
        <w:pStyle w:val="Listbulleted1"/>
        <w:rPr>
          <w:rFonts w:eastAsia="MS Gothic"/>
          <w:u w:val="none"/>
        </w:rPr>
      </w:pPr>
      <w:r>
        <w:rPr>
          <w:rFonts w:eastAsia="MS Gothic"/>
          <w:u w:val="none"/>
        </w:rPr>
        <w:t>Following could be the reasons of outbreak,</w:t>
      </w:r>
    </w:p>
    <w:p w:rsidR="000C1F1D" w:rsidRPr="00C15DCD" w:rsidRDefault="000C1F1D" w:rsidP="000C1F1D">
      <w:pPr>
        <w:pStyle w:val="Listbulleted1"/>
        <w:rPr>
          <w:rFonts w:eastAsia="MS Gothic"/>
          <w:u w:val="none"/>
        </w:rPr>
      </w:pPr>
      <w:r w:rsidRPr="00C15DCD">
        <w:rPr>
          <w:rFonts w:eastAsia="MS Gothic"/>
          <w:u w:val="none"/>
        </w:rPr>
        <w:t>1: Due to migration in 2014, causes increase cases</w:t>
      </w:r>
    </w:p>
    <w:p w:rsidR="000C1F1D" w:rsidRPr="00C15DCD" w:rsidRDefault="000C1F1D" w:rsidP="000C1F1D">
      <w:pPr>
        <w:pStyle w:val="Listbulleted1"/>
        <w:rPr>
          <w:rFonts w:eastAsia="MS Gothic"/>
          <w:u w:val="none"/>
        </w:rPr>
      </w:pPr>
      <w:r w:rsidRPr="00C15DCD">
        <w:rPr>
          <w:rFonts w:eastAsia="MS Gothic"/>
          <w:u w:val="none"/>
        </w:rPr>
        <w:t>2:Confirmed cases are unvaccinated</w:t>
      </w:r>
    </w:p>
    <w:p w:rsidR="00ED63BF" w:rsidRPr="00C15DCD" w:rsidRDefault="000C1F1D" w:rsidP="000C1F1D">
      <w:pPr>
        <w:pStyle w:val="Listbulleted1"/>
        <w:rPr>
          <w:rFonts w:eastAsia="MS Gothic"/>
          <w:u w:val="none"/>
        </w:rPr>
      </w:pPr>
      <w:r w:rsidRPr="00C15DCD">
        <w:rPr>
          <w:rFonts w:eastAsia="MS Gothic"/>
          <w:u w:val="none"/>
        </w:rPr>
        <w:t xml:space="preserve">3: weakness  in surveillance system </w:t>
      </w:r>
    </w:p>
    <w:p w:rsidR="00ED63BF" w:rsidRPr="00C15DCD" w:rsidRDefault="00ED63BF" w:rsidP="000C1F1D">
      <w:pPr>
        <w:pStyle w:val="Listbulleted1"/>
        <w:rPr>
          <w:u w:val="none"/>
        </w:rPr>
      </w:pPr>
    </w:p>
    <w:p w:rsidR="000C1F1D" w:rsidRPr="00C15DCD" w:rsidRDefault="00ED63BF" w:rsidP="000C1F1D">
      <w:pPr>
        <w:pStyle w:val="Listbulleted1"/>
        <w:rPr>
          <w:u w:val="none"/>
        </w:rPr>
      </w:pPr>
      <w:r w:rsidRPr="00C15DCD">
        <w:rPr>
          <w:u w:val="none"/>
        </w:rPr>
        <w:t>Task 6. Brief the Minister</w:t>
      </w:r>
      <w:r w:rsidR="00C15DCD" w:rsidRPr="00C15DCD">
        <w:rPr>
          <w:u w:val="none"/>
        </w:rPr>
        <w:t>, propose actions</w:t>
      </w:r>
    </w:p>
    <w:p w:rsidR="00C15DCD" w:rsidRPr="00C15DCD" w:rsidRDefault="00C15DCD" w:rsidP="000C1F1D">
      <w:pPr>
        <w:pStyle w:val="Listbulleted1"/>
        <w:rPr>
          <w:u w:val="none"/>
        </w:rPr>
      </w:pPr>
      <w:r w:rsidRPr="00C15DCD">
        <w:rPr>
          <w:u w:val="none"/>
        </w:rPr>
        <w:lastRenderedPageBreak/>
        <w:t>C</w:t>
      </w:r>
      <w:r w:rsidR="000C1F1D" w:rsidRPr="00C15DCD">
        <w:rPr>
          <w:u w:val="none"/>
        </w:rPr>
        <w:t xml:space="preserve">onduct the quick mop-up round </w:t>
      </w:r>
    </w:p>
    <w:p w:rsidR="00C15DCD" w:rsidRPr="00C15DCD" w:rsidRDefault="00C15DCD" w:rsidP="000C1F1D">
      <w:pPr>
        <w:pStyle w:val="Listbulleted1"/>
        <w:rPr>
          <w:u w:val="none"/>
        </w:rPr>
      </w:pPr>
      <w:r w:rsidRPr="00C15DCD">
        <w:rPr>
          <w:u w:val="none"/>
        </w:rPr>
        <w:t>A</w:t>
      </w:r>
      <w:r w:rsidR="000C1F1D" w:rsidRPr="00C15DCD">
        <w:rPr>
          <w:u w:val="none"/>
        </w:rPr>
        <w:t>rrange vaccine</w:t>
      </w:r>
    </w:p>
    <w:p w:rsidR="000C1F1D" w:rsidRPr="00C15DCD" w:rsidRDefault="00C15DCD" w:rsidP="00C15DCD">
      <w:pPr>
        <w:pStyle w:val="Listbulleted1"/>
        <w:rPr>
          <w:u w:val="none"/>
        </w:rPr>
      </w:pPr>
      <w:r w:rsidRPr="00C15DCD">
        <w:rPr>
          <w:u w:val="none"/>
        </w:rPr>
        <w:t xml:space="preserve">Training of </w:t>
      </w:r>
      <w:r w:rsidR="000C1F1D" w:rsidRPr="00C15DCD">
        <w:rPr>
          <w:u w:val="none"/>
        </w:rPr>
        <w:t xml:space="preserve"> health</w:t>
      </w:r>
      <w:r w:rsidRPr="00C15DCD">
        <w:rPr>
          <w:u w:val="none"/>
        </w:rPr>
        <w:t xml:space="preserve"> workers for proper microplaning, reporting </w:t>
      </w:r>
      <w:r w:rsidR="000C1F1D" w:rsidRPr="00C15DCD">
        <w:rPr>
          <w:u w:val="none"/>
        </w:rPr>
        <w:t xml:space="preserve"> </w:t>
      </w:r>
    </w:p>
    <w:p w:rsidR="000C1F1D" w:rsidRPr="00C15DCD" w:rsidRDefault="000C1F1D" w:rsidP="000C1F1D">
      <w:pPr>
        <w:pStyle w:val="Listbulleted1"/>
        <w:rPr>
          <w:u w:val="none"/>
        </w:rPr>
      </w:pPr>
    </w:p>
    <w:p w:rsidR="000C1F1D" w:rsidRPr="00C15DCD" w:rsidRDefault="000C1F1D" w:rsidP="000C1F1D">
      <w:pPr>
        <w:pStyle w:val="Listbulleted1"/>
        <w:rPr>
          <w:u w:val="none"/>
        </w:rPr>
      </w:pPr>
      <w:r w:rsidRPr="00C15DCD">
        <w:rPr>
          <w:u w:val="none"/>
        </w:rPr>
        <w:t>Task 7</w:t>
      </w:r>
    </w:p>
    <w:p w:rsidR="00ED63BF" w:rsidRPr="00C15DCD" w:rsidRDefault="00ED63BF" w:rsidP="000C1F1D">
      <w:pPr>
        <w:pStyle w:val="Listbulleted1"/>
        <w:rPr>
          <w:u w:val="none"/>
        </w:rPr>
      </w:pPr>
      <w:r w:rsidRPr="00C15DCD">
        <w:rPr>
          <w:u w:val="none"/>
        </w:rPr>
        <w:t>Formulate recommendations. List your top 3-5 recommendations specific to data strengthening you would prioritize as the EPI and surveillance teams in Vacciland</w:t>
      </w:r>
    </w:p>
    <w:p w:rsidR="00ED63BF" w:rsidRPr="00C15DCD" w:rsidRDefault="00ED63BF" w:rsidP="00ED63BF">
      <w:pPr>
        <w:rPr>
          <w:rFonts w:eastAsia="MS Gothic"/>
          <w:b/>
          <w:bCs/>
          <w:color w:val="365F91" w:themeColor="accent1" w:themeShade="BF"/>
        </w:rPr>
      </w:pPr>
      <w:r w:rsidRPr="00C15DCD">
        <w:rPr>
          <w:rFonts w:eastAsia="MS Gothic"/>
          <w:b/>
          <w:bCs/>
          <w:color w:val="365F91" w:themeColor="accent1" w:themeShade="BF"/>
        </w:rPr>
        <w:t>Recommendation:</w:t>
      </w:r>
    </w:p>
    <w:p w:rsidR="000C1F1D" w:rsidRPr="00C15DCD" w:rsidRDefault="000C1F1D" w:rsidP="000C1F1D">
      <w:pPr>
        <w:rPr>
          <w:rFonts w:eastAsia="MS Gothic"/>
          <w:b/>
          <w:bCs/>
          <w:color w:val="365F91" w:themeColor="accent1" w:themeShade="BF"/>
        </w:rPr>
      </w:pPr>
      <w:r w:rsidRPr="00C15DCD">
        <w:rPr>
          <w:rFonts w:eastAsia="MS Gothic"/>
          <w:b/>
          <w:bCs/>
          <w:color w:val="365F91" w:themeColor="accent1" w:themeShade="BF"/>
        </w:rPr>
        <w:t xml:space="preserve"> 1: </w:t>
      </w:r>
      <w:r w:rsidR="00C15DCD" w:rsidRPr="00C15DCD">
        <w:rPr>
          <w:rFonts w:eastAsia="MS Gothic"/>
          <w:b/>
          <w:bCs/>
          <w:color w:val="365F91" w:themeColor="accent1" w:themeShade="BF"/>
        </w:rPr>
        <w:t xml:space="preserve">Proper attention to </w:t>
      </w:r>
      <w:r w:rsidRPr="00C15DCD">
        <w:rPr>
          <w:rFonts w:eastAsia="MS Gothic"/>
          <w:b/>
          <w:bCs/>
          <w:color w:val="365F91" w:themeColor="accent1" w:themeShade="BF"/>
        </w:rPr>
        <w:t>Routine Immunization is mandatory to acchieve coverage  of all antigens</w:t>
      </w:r>
    </w:p>
    <w:p w:rsidR="000C1F1D" w:rsidRPr="00C15DCD" w:rsidRDefault="00C15DCD" w:rsidP="000C1F1D">
      <w:pPr>
        <w:rPr>
          <w:rFonts w:eastAsia="MS Gothic"/>
          <w:b/>
          <w:bCs/>
          <w:color w:val="365F91" w:themeColor="accent1" w:themeShade="BF"/>
        </w:rPr>
      </w:pPr>
      <w:r>
        <w:rPr>
          <w:rFonts w:eastAsia="MS Gothic"/>
          <w:b/>
          <w:bCs/>
          <w:color w:val="365F91" w:themeColor="accent1" w:themeShade="BF"/>
        </w:rPr>
        <w:t xml:space="preserve"> </w:t>
      </w:r>
      <w:r w:rsidR="000C1F1D" w:rsidRPr="00C15DCD">
        <w:rPr>
          <w:rFonts w:eastAsia="MS Gothic"/>
          <w:b/>
          <w:bCs/>
          <w:color w:val="365F91" w:themeColor="accent1" w:themeShade="BF"/>
        </w:rPr>
        <w:t>2: Good surveilance system required for children above one yrear</w:t>
      </w:r>
    </w:p>
    <w:p w:rsidR="000C1F1D" w:rsidRPr="00C15DCD" w:rsidRDefault="00C15DCD" w:rsidP="00C15DCD">
      <w:pPr>
        <w:rPr>
          <w:rFonts w:eastAsia="MS Gothic"/>
          <w:b/>
          <w:bCs/>
          <w:color w:val="365F91" w:themeColor="accent1" w:themeShade="BF"/>
        </w:rPr>
      </w:pPr>
      <w:r>
        <w:rPr>
          <w:rFonts w:eastAsia="MS Gothic"/>
          <w:b/>
          <w:bCs/>
          <w:color w:val="365F91" w:themeColor="accent1" w:themeShade="BF"/>
        </w:rPr>
        <w:t xml:space="preserve"> </w:t>
      </w:r>
      <w:r w:rsidR="000C1F1D" w:rsidRPr="00C15DCD">
        <w:rPr>
          <w:rFonts w:eastAsia="MS Gothic"/>
          <w:b/>
          <w:bCs/>
          <w:color w:val="365F91" w:themeColor="accent1" w:themeShade="BF"/>
        </w:rPr>
        <w:t>3:Require dat</w:t>
      </w:r>
      <w:r>
        <w:rPr>
          <w:rFonts w:eastAsia="MS Gothic"/>
          <w:b/>
          <w:bCs/>
          <w:color w:val="365F91" w:themeColor="accent1" w:themeShade="BF"/>
        </w:rPr>
        <w:t>a</w:t>
      </w:r>
      <w:r w:rsidR="000C1F1D" w:rsidRPr="00C15DCD">
        <w:rPr>
          <w:rFonts w:eastAsia="MS Gothic"/>
          <w:b/>
          <w:bCs/>
          <w:color w:val="365F91" w:themeColor="accent1" w:themeShade="BF"/>
        </w:rPr>
        <w:t xml:space="preserve"> validation </w:t>
      </w:r>
      <w:r>
        <w:rPr>
          <w:rFonts w:eastAsia="MS Gothic"/>
          <w:b/>
          <w:bCs/>
          <w:color w:val="365F91" w:themeColor="accent1" w:themeShade="BF"/>
        </w:rPr>
        <w:t>and varification on</w:t>
      </w:r>
      <w:r w:rsidR="000C1F1D" w:rsidRPr="00C15DCD">
        <w:rPr>
          <w:rFonts w:eastAsia="MS Gothic"/>
          <w:b/>
          <w:bCs/>
          <w:color w:val="365F91" w:themeColor="accent1" w:themeShade="BF"/>
        </w:rPr>
        <w:t xml:space="preserve">  regular basus</w:t>
      </w:r>
    </w:p>
    <w:sectPr w:rsidR="000C1F1D" w:rsidRPr="00C15DCD" w:rsidSect="00352BAD">
      <w:type w:val="continuous"/>
      <w:pgSz w:w="16840" w:h="11900" w:orient="landscape"/>
      <w:pgMar w:top="1134" w:right="993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8EF" w:rsidRDefault="00D478EF" w:rsidP="00B76E35">
      <w:r>
        <w:separator/>
      </w:r>
    </w:p>
  </w:endnote>
  <w:endnote w:type="continuationSeparator" w:id="1">
    <w:p w:rsidR="00D478EF" w:rsidRDefault="00D478EF" w:rsidP="00B76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1239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AD3" w:rsidRDefault="009728A7">
        <w:pPr>
          <w:pStyle w:val="Footer"/>
          <w:jc w:val="center"/>
        </w:pPr>
        <w:fldSimple w:instr=" PAGE   \* MERGEFORMAT ">
          <w:r w:rsidR="00C15DCD">
            <w:rPr>
              <w:noProof/>
            </w:rPr>
            <w:t>6</w:t>
          </w:r>
        </w:fldSimple>
      </w:p>
    </w:sdtContent>
  </w:sdt>
  <w:p w:rsidR="00EE0AD3" w:rsidRDefault="00EE0A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978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AD3" w:rsidRDefault="009728A7">
        <w:pPr>
          <w:pStyle w:val="Footer"/>
          <w:jc w:val="center"/>
        </w:pPr>
        <w:fldSimple w:instr=" PAGE   \* MERGEFORMAT ">
          <w:r w:rsidR="003A4C66">
            <w:rPr>
              <w:noProof/>
            </w:rPr>
            <w:t>1</w:t>
          </w:r>
        </w:fldSimple>
      </w:p>
    </w:sdtContent>
  </w:sdt>
  <w:p w:rsidR="00EE0AD3" w:rsidRDefault="00EE0A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8EF" w:rsidRDefault="00D478EF" w:rsidP="00B76E35">
      <w:r>
        <w:separator/>
      </w:r>
    </w:p>
  </w:footnote>
  <w:footnote w:type="continuationSeparator" w:id="1">
    <w:p w:rsidR="00D478EF" w:rsidRDefault="00D478EF" w:rsidP="00B76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769" w:rsidRDefault="009B6326" w:rsidP="000C1F1D">
    <w:pPr>
      <w:pStyle w:val="Listbulleted1"/>
    </w:pPr>
    <w:r>
      <w:t xml:space="preserve">       </w:t>
    </w:r>
  </w:p>
  <w:p w:rsidR="00EE0AD3" w:rsidRPr="00103133" w:rsidRDefault="00EE0AD3" w:rsidP="00103133">
    <w:pPr>
      <w:pStyle w:val="NormalWeb"/>
      <w:spacing w:before="0" w:beforeAutospacing="0" w:after="0" w:afterAutospacing="0"/>
      <w:rPr>
        <w:rFonts w:asciiTheme="majorHAnsi" w:hAnsiTheme="majorHAnsi"/>
        <w:b/>
        <w:color w:val="00B0F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47B"/>
      </v:shape>
    </w:pict>
  </w:numPicBullet>
  <w:abstractNum w:abstractNumId="0">
    <w:nsid w:val="02314193"/>
    <w:multiLevelType w:val="hybridMultilevel"/>
    <w:tmpl w:val="A8EE5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84D2F"/>
    <w:multiLevelType w:val="hybridMultilevel"/>
    <w:tmpl w:val="ACD62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F41AFA"/>
    <w:multiLevelType w:val="hybridMultilevel"/>
    <w:tmpl w:val="2CD6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E3929"/>
    <w:multiLevelType w:val="hybridMultilevel"/>
    <w:tmpl w:val="1D523FB2"/>
    <w:lvl w:ilvl="0" w:tplc="E4AACB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A29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4D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A4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83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21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41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8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2A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A3597"/>
    <w:multiLevelType w:val="hybridMultilevel"/>
    <w:tmpl w:val="1B0046DE"/>
    <w:lvl w:ilvl="0" w:tplc="4470CF4C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C84EF1"/>
    <w:multiLevelType w:val="hybridMultilevel"/>
    <w:tmpl w:val="7E363FA6"/>
    <w:lvl w:ilvl="0" w:tplc="44249200">
      <w:numFmt w:val="bullet"/>
      <w:lvlText w:val="-"/>
      <w:lvlJc w:val="left"/>
      <w:pPr>
        <w:ind w:left="408" w:hanging="360"/>
      </w:pPr>
      <w:rPr>
        <w:rFonts w:ascii="Calibri" w:eastAsiaTheme="minorEastAsia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>
    <w:nsid w:val="128B0A76"/>
    <w:multiLevelType w:val="hybridMultilevel"/>
    <w:tmpl w:val="FFEA55A0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>
    <w:nsid w:val="12D47B65"/>
    <w:multiLevelType w:val="hybridMultilevel"/>
    <w:tmpl w:val="5768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F498F"/>
    <w:multiLevelType w:val="hybridMultilevel"/>
    <w:tmpl w:val="7F3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341D6"/>
    <w:multiLevelType w:val="hybridMultilevel"/>
    <w:tmpl w:val="C02E4ACE"/>
    <w:lvl w:ilvl="0" w:tplc="0409000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10">
    <w:nsid w:val="18DA118E"/>
    <w:multiLevelType w:val="hybridMultilevel"/>
    <w:tmpl w:val="34785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2B5E9A"/>
    <w:multiLevelType w:val="hybridMultilevel"/>
    <w:tmpl w:val="68620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C54F2"/>
    <w:multiLevelType w:val="hybridMultilevel"/>
    <w:tmpl w:val="FCE21A68"/>
    <w:lvl w:ilvl="0" w:tplc="61625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12B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2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62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EB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0E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6D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68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C4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E4C08"/>
    <w:multiLevelType w:val="hybridMultilevel"/>
    <w:tmpl w:val="044C2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D22F8D"/>
    <w:multiLevelType w:val="hybridMultilevel"/>
    <w:tmpl w:val="653E7D34"/>
    <w:lvl w:ilvl="0" w:tplc="18A60A8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326870E5"/>
    <w:multiLevelType w:val="hybridMultilevel"/>
    <w:tmpl w:val="BEB0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66793"/>
    <w:multiLevelType w:val="hybridMultilevel"/>
    <w:tmpl w:val="6BE22A32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>
    <w:nsid w:val="34BB1BBC"/>
    <w:multiLevelType w:val="hybridMultilevel"/>
    <w:tmpl w:val="678E1FB2"/>
    <w:lvl w:ilvl="0" w:tplc="62942AF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6CD"/>
    <w:multiLevelType w:val="hybridMultilevel"/>
    <w:tmpl w:val="BE86BEB4"/>
    <w:lvl w:ilvl="0" w:tplc="04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9">
    <w:nsid w:val="3584377A"/>
    <w:multiLevelType w:val="hybridMultilevel"/>
    <w:tmpl w:val="4104C136"/>
    <w:lvl w:ilvl="0" w:tplc="04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0">
    <w:nsid w:val="3A6F7F05"/>
    <w:multiLevelType w:val="hybridMultilevel"/>
    <w:tmpl w:val="7D16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12CD3"/>
    <w:multiLevelType w:val="hybridMultilevel"/>
    <w:tmpl w:val="9A761804"/>
    <w:lvl w:ilvl="0" w:tplc="0409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22">
    <w:nsid w:val="453F47EF"/>
    <w:multiLevelType w:val="hybridMultilevel"/>
    <w:tmpl w:val="BC0A6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4E6FFF"/>
    <w:multiLevelType w:val="hybridMultilevel"/>
    <w:tmpl w:val="D6AE8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8445AC"/>
    <w:multiLevelType w:val="hybridMultilevel"/>
    <w:tmpl w:val="56905F08"/>
    <w:lvl w:ilvl="0" w:tplc="18A60A8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02E0D"/>
    <w:multiLevelType w:val="hybridMultilevel"/>
    <w:tmpl w:val="ABC8A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005B17"/>
    <w:multiLevelType w:val="hybridMultilevel"/>
    <w:tmpl w:val="84483EAE"/>
    <w:lvl w:ilvl="0" w:tplc="968C16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D04CAA4">
      <w:start w:val="1"/>
      <w:numFmt w:val="bullet"/>
      <w:lvlText w:val="•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5197AEF"/>
    <w:multiLevelType w:val="hybridMultilevel"/>
    <w:tmpl w:val="C95C4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D6605E"/>
    <w:multiLevelType w:val="hybridMultilevel"/>
    <w:tmpl w:val="662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C7BA8"/>
    <w:multiLevelType w:val="hybridMultilevel"/>
    <w:tmpl w:val="8148495A"/>
    <w:lvl w:ilvl="0" w:tplc="0409000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30">
    <w:nsid w:val="67754B59"/>
    <w:multiLevelType w:val="hybridMultilevel"/>
    <w:tmpl w:val="AA1C9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825C88"/>
    <w:multiLevelType w:val="hybridMultilevel"/>
    <w:tmpl w:val="16BE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DC5386"/>
    <w:multiLevelType w:val="hybridMultilevel"/>
    <w:tmpl w:val="ED48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2154F"/>
    <w:multiLevelType w:val="hybridMultilevel"/>
    <w:tmpl w:val="6234E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7C04C1"/>
    <w:multiLevelType w:val="hybridMultilevel"/>
    <w:tmpl w:val="00E00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E23735"/>
    <w:multiLevelType w:val="hybridMultilevel"/>
    <w:tmpl w:val="68C4C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F001CA"/>
    <w:multiLevelType w:val="hybridMultilevel"/>
    <w:tmpl w:val="7D14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E0622"/>
    <w:multiLevelType w:val="hybridMultilevel"/>
    <w:tmpl w:val="0F5CC18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10"/>
  </w:num>
  <w:num w:numId="4">
    <w:abstractNumId w:val="8"/>
  </w:num>
  <w:num w:numId="5">
    <w:abstractNumId w:val="14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0"/>
  </w:num>
  <w:num w:numId="11">
    <w:abstractNumId w:val="17"/>
  </w:num>
  <w:num w:numId="12">
    <w:abstractNumId w:val="2"/>
  </w:num>
  <w:num w:numId="13">
    <w:abstractNumId w:val="31"/>
  </w:num>
  <w:num w:numId="14">
    <w:abstractNumId w:val="20"/>
  </w:num>
  <w:num w:numId="15">
    <w:abstractNumId w:val="13"/>
  </w:num>
  <w:num w:numId="16">
    <w:abstractNumId w:val="1"/>
  </w:num>
  <w:num w:numId="17">
    <w:abstractNumId w:val="0"/>
  </w:num>
  <w:num w:numId="18">
    <w:abstractNumId w:val="6"/>
  </w:num>
  <w:num w:numId="19">
    <w:abstractNumId w:val="9"/>
  </w:num>
  <w:num w:numId="20">
    <w:abstractNumId w:val="33"/>
  </w:num>
  <w:num w:numId="21">
    <w:abstractNumId w:val="36"/>
  </w:num>
  <w:num w:numId="22">
    <w:abstractNumId w:val="5"/>
  </w:num>
  <w:num w:numId="23">
    <w:abstractNumId w:val="37"/>
  </w:num>
  <w:num w:numId="24">
    <w:abstractNumId w:val="23"/>
  </w:num>
  <w:num w:numId="25">
    <w:abstractNumId w:val="35"/>
  </w:num>
  <w:num w:numId="26">
    <w:abstractNumId w:val="25"/>
  </w:num>
  <w:num w:numId="27">
    <w:abstractNumId w:val="22"/>
  </w:num>
  <w:num w:numId="28">
    <w:abstractNumId w:val="27"/>
  </w:num>
  <w:num w:numId="29">
    <w:abstractNumId w:val="16"/>
  </w:num>
  <w:num w:numId="30">
    <w:abstractNumId w:val="34"/>
  </w:num>
  <w:num w:numId="31">
    <w:abstractNumId w:val="29"/>
  </w:num>
  <w:num w:numId="32">
    <w:abstractNumId w:val="18"/>
  </w:num>
  <w:num w:numId="33">
    <w:abstractNumId w:val="7"/>
  </w:num>
  <w:num w:numId="34">
    <w:abstractNumId w:val="32"/>
  </w:num>
  <w:num w:numId="35">
    <w:abstractNumId w:val="15"/>
  </w:num>
  <w:num w:numId="36">
    <w:abstractNumId w:val="26"/>
  </w:num>
  <w:num w:numId="37">
    <w:abstractNumId w:val="3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64E3"/>
    <w:rsid w:val="00015C8D"/>
    <w:rsid w:val="00047563"/>
    <w:rsid w:val="0006786F"/>
    <w:rsid w:val="00077E8E"/>
    <w:rsid w:val="000801BC"/>
    <w:rsid w:val="00081DBE"/>
    <w:rsid w:val="000832F8"/>
    <w:rsid w:val="00087B71"/>
    <w:rsid w:val="000905DC"/>
    <w:rsid w:val="000B2FCA"/>
    <w:rsid w:val="000B77C0"/>
    <w:rsid w:val="000C1F1D"/>
    <w:rsid w:val="000C6033"/>
    <w:rsid w:val="000E0057"/>
    <w:rsid w:val="000F3218"/>
    <w:rsid w:val="00103133"/>
    <w:rsid w:val="001209E1"/>
    <w:rsid w:val="00135BA9"/>
    <w:rsid w:val="00136F4E"/>
    <w:rsid w:val="00151194"/>
    <w:rsid w:val="00166EB8"/>
    <w:rsid w:val="00171495"/>
    <w:rsid w:val="001728DD"/>
    <w:rsid w:val="00175F31"/>
    <w:rsid w:val="0017609C"/>
    <w:rsid w:val="00186F92"/>
    <w:rsid w:val="00190BF7"/>
    <w:rsid w:val="001C14AA"/>
    <w:rsid w:val="001D4EEB"/>
    <w:rsid w:val="001D529B"/>
    <w:rsid w:val="00202C80"/>
    <w:rsid w:val="002032AB"/>
    <w:rsid w:val="00206E58"/>
    <w:rsid w:val="00243D38"/>
    <w:rsid w:val="0024534D"/>
    <w:rsid w:val="00252049"/>
    <w:rsid w:val="00253F24"/>
    <w:rsid w:val="002837D1"/>
    <w:rsid w:val="002A1611"/>
    <w:rsid w:val="002B3E4E"/>
    <w:rsid w:val="002D34AE"/>
    <w:rsid w:val="002E03AB"/>
    <w:rsid w:val="002F1F50"/>
    <w:rsid w:val="00310297"/>
    <w:rsid w:val="0031257F"/>
    <w:rsid w:val="00314182"/>
    <w:rsid w:val="00317FD7"/>
    <w:rsid w:val="00322DD8"/>
    <w:rsid w:val="00322FB0"/>
    <w:rsid w:val="00324776"/>
    <w:rsid w:val="003340DB"/>
    <w:rsid w:val="00352463"/>
    <w:rsid w:val="00352BAD"/>
    <w:rsid w:val="00364853"/>
    <w:rsid w:val="00371FD5"/>
    <w:rsid w:val="00390BAA"/>
    <w:rsid w:val="00392ABA"/>
    <w:rsid w:val="003A4C66"/>
    <w:rsid w:val="003B1ECD"/>
    <w:rsid w:val="003C24A4"/>
    <w:rsid w:val="003E707E"/>
    <w:rsid w:val="003E7637"/>
    <w:rsid w:val="003F73CF"/>
    <w:rsid w:val="00403540"/>
    <w:rsid w:val="00413351"/>
    <w:rsid w:val="00425613"/>
    <w:rsid w:val="0043046D"/>
    <w:rsid w:val="00432404"/>
    <w:rsid w:val="0044078C"/>
    <w:rsid w:val="00442FF3"/>
    <w:rsid w:val="00451397"/>
    <w:rsid w:val="0045627B"/>
    <w:rsid w:val="00457ECC"/>
    <w:rsid w:val="0046343F"/>
    <w:rsid w:val="00463678"/>
    <w:rsid w:val="00483AC7"/>
    <w:rsid w:val="00483EFF"/>
    <w:rsid w:val="004947F9"/>
    <w:rsid w:val="00495781"/>
    <w:rsid w:val="004C579A"/>
    <w:rsid w:val="004F1E52"/>
    <w:rsid w:val="004F277C"/>
    <w:rsid w:val="004F434D"/>
    <w:rsid w:val="005004D8"/>
    <w:rsid w:val="005047F1"/>
    <w:rsid w:val="005247B8"/>
    <w:rsid w:val="0053226A"/>
    <w:rsid w:val="0054339D"/>
    <w:rsid w:val="0055105E"/>
    <w:rsid w:val="005523AB"/>
    <w:rsid w:val="00556C61"/>
    <w:rsid w:val="00566EF8"/>
    <w:rsid w:val="00576206"/>
    <w:rsid w:val="00581CEB"/>
    <w:rsid w:val="005836A6"/>
    <w:rsid w:val="00584F01"/>
    <w:rsid w:val="005A6C92"/>
    <w:rsid w:val="005A77E2"/>
    <w:rsid w:val="005C2E4E"/>
    <w:rsid w:val="005C3D1D"/>
    <w:rsid w:val="005C6EF0"/>
    <w:rsid w:val="005C7CEB"/>
    <w:rsid w:val="005D361B"/>
    <w:rsid w:val="005D4CF2"/>
    <w:rsid w:val="005F5E66"/>
    <w:rsid w:val="00612037"/>
    <w:rsid w:val="00616876"/>
    <w:rsid w:val="00653B06"/>
    <w:rsid w:val="0066438C"/>
    <w:rsid w:val="00673298"/>
    <w:rsid w:val="006813E9"/>
    <w:rsid w:val="00690C4B"/>
    <w:rsid w:val="00691EE7"/>
    <w:rsid w:val="00692421"/>
    <w:rsid w:val="006A55E8"/>
    <w:rsid w:val="006B1E16"/>
    <w:rsid w:val="006B77FE"/>
    <w:rsid w:val="006C65A3"/>
    <w:rsid w:val="006E5AA3"/>
    <w:rsid w:val="0070427E"/>
    <w:rsid w:val="007115AE"/>
    <w:rsid w:val="007214F4"/>
    <w:rsid w:val="0073571C"/>
    <w:rsid w:val="0076591B"/>
    <w:rsid w:val="00772025"/>
    <w:rsid w:val="00776C8A"/>
    <w:rsid w:val="00793836"/>
    <w:rsid w:val="007B50EF"/>
    <w:rsid w:val="007D765C"/>
    <w:rsid w:val="007E55D6"/>
    <w:rsid w:val="007F685B"/>
    <w:rsid w:val="007F6D73"/>
    <w:rsid w:val="0080140C"/>
    <w:rsid w:val="008114BB"/>
    <w:rsid w:val="008164E3"/>
    <w:rsid w:val="00837447"/>
    <w:rsid w:val="00866533"/>
    <w:rsid w:val="008671AF"/>
    <w:rsid w:val="00870CEB"/>
    <w:rsid w:val="008749CA"/>
    <w:rsid w:val="008845C9"/>
    <w:rsid w:val="00893689"/>
    <w:rsid w:val="008B2C65"/>
    <w:rsid w:val="008E427D"/>
    <w:rsid w:val="008E551E"/>
    <w:rsid w:val="008F320E"/>
    <w:rsid w:val="00900B1B"/>
    <w:rsid w:val="00904F79"/>
    <w:rsid w:val="00927D4E"/>
    <w:rsid w:val="00937B22"/>
    <w:rsid w:val="00941E59"/>
    <w:rsid w:val="00942615"/>
    <w:rsid w:val="009458C2"/>
    <w:rsid w:val="00945BE8"/>
    <w:rsid w:val="00950002"/>
    <w:rsid w:val="00951131"/>
    <w:rsid w:val="0096385B"/>
    <w:rsid w:val="00964563"/>
    <w:rsid w:val="00972549"/>
    <w:rsid w:val="009728A7"/>
    <w:rsid w:val="00982F16"/>
    <w:rsid w:val="0098657E"/>
    <w:rsid w:val="009A25C8"/>
    <w:rsid w:val="009A4AEE"/>
    <w:rsid w:val="009B26FC"/>
    <w:rsid w:val="009B6326"/>
    <w:rsid w:val="009B6C67"/>
    <w:rsid w:val="009D133B"/>
    <w:rsid w:val="009D1E0D"/>
    <w:rsid w:val="009E326F"/>
    <w:rsid w:val="009E38A4"/>
    <w:rsid w:val="009E5467"/>
    <w:rsid w:val="009F489D"/>
    <w:rsid w:val="00A00FF9"/>
    <w:rsid w:val="00A106AD"/>
    <w:rsid w:val="00A135E6"/>
    <w:rsid w:val="00A317FA"/>
    <w:rsid w:val="00A5255F"/>
    <w:rsid w:val="00A52F3C"/>
    <w:rsid w:val="00A57BE2"/>
    <w:rsid w:val="00A66186"/>
    <w:rsid w:val="00A84213"/>
    <w:rsid w:val="00A863E1"/>
    <w:rsid w:val="00A97471"/>
    <w:rsid w:val="00AA0BD3"/>
    <w:rsid w:val="00AA0BEB"/>
    <w:rsid w:val="00AA1385"/>
    <w:rsid w:val="00AA264F"/>
    <w:rsid w:val="00AD1CCD"/>
    <w:rsid w:val="00AD4FB1"/>
    <w:rsid w:val="00AE5C34"/>
    <w:rsid w:val="00B00F53"/>
    <w:rsid w:val="00B02039"/>
    <w:rsid w:val="00B06A67"/>
    <w:rsid w:val="00B07A08"/>
    <w:rsid w:val="00B15030"/>
    <w:rsid w:val="00B211D2"/>
    <w:rsid w:val="00B2374F"/>
    <w:rsid w:val="00B47F51"/>
    <w:rsid w:val="00B50DF1"/>
    <w:rsid w:val="00B51E20"/>
    <w:rsid w:val="00B569C4"/>
    <w:rsid w:val="00B63B95"/>
    <w:rsid w:val="00B6738A"/>
    <w:rsid w:val="00B76E35"/>
    <w:rsid w:val="00B857EF"/>
    <w:rsid w:val="00B97469"/>
    <w:rsid w:val="00BA2F01"/>
    <w:rsid w:val="00BB2F1F"/>
    <w:rsid w:val="00BC142A"/>
    <w:rsid w:val="00BC29D2"/>
    <w:rsid w:val="00BC3371"/>
    <w:rsid w:val="00BC5AB2"/>
    <w:rsid w:val="00BD2BB9"/>
    <w:rsid w:val="00BD4C45"/>
    <w:rsid w:val="00BD6522"/>
    <w:rsid w:val="00BE0409"/>
    <w:rsid w:val="00BF048C"/>
    <w:rsid w:val="00BF1CCD"/>
    <w:rsid w:val="00BF2C36"/>
    <w:rsid w:val="00BF316D"/>
    <w:rsid w:val="00C10B01"/>
    <w:rsid w:val="00C15DCD"/>
    <w:rsid w:val="00C22358"/>
    <w:rsid w:val="00C35BC7"/>
    <w:rsid w:val="00C3750F"/>
    <w:rsid w:val="00C47593"/>
    <w:rsid w:val="00C57401"/>
    <w:rsid w:val="00C57547"/>
    <w:rsid w:val="00C772D9"/>
    <w:rsid w:val="00C84554"/>
    <w:rsid w:val="00C9234E"/>
    <w:rsid w:val="00C92468"/>
    <w:rsid w:val="00CA1324"/>
    <w:rsid w:val="00CB6980"/>
    <w:rsid w:val="00CD00A2"/>
    <w:rsid w:val="00CD1CB9"/>
    <w:rsid w:val="00CD40DB"/>
    <w:rsid w:val="00CE641B"/>
    <w:rsid w:val="00CF31C6"/>
    <w:rsid w:val="00D04123"/>
    <w:rsid w:val="00D07769"/>
    <w:rsid w:val="00D10EBA"/>
    <w:rsid w:val="00D1615C"/>
    <w:rsid w:val="00D41345"/>
    <w:rsid w:val="00D432A8"/>
    <w:rsid w:val="00D478EF"/>
    <w:rsid w:val="00D51B4C"/>
    <w:rsid w:val="00D540AD"/>
    <w:rsid w:val="00D63B17"/>
    <w:rsid w:val="00D64497"/>
    <w:rsid w:val="00D65EC9"/>
    <w:rsid w:val="00D91B9F"/>
    <w:rsid w:val="00D92248"/>
    <w:rsid w:val="00DB052C"/>
    <w:rsid w:val="00DB27F3"/>
    <w:rsid w:val="00DB4943"/>
    <w:rsid w:val="00DD1B15"/>
    <w:rsid w:val="00DF5692"/>
    <w:rsid w:val="00DF7D8B"/>
    <w:rsid w:val="00E001E7"/>
    <w:rsid w:val="00E04BA5"/>
    <w:rsid w:val="00E11A4A"/>
    <w:rsid w:val="00E3257B"/>
    <w:rsid w:val="00E34EC1"/>
    <w:rsid w:val="00E46ED7"/>
    <w:rsid w:val="00E523C3"/>
    <w:rsid w:val="00E5700B"/>
    <w:rsid w:val="00E76DD8"/>
    <w:rsid w:val="00E84F90"/>
    <w:rsid w:val="00E9241E"/>
    <w:rsid w:val="00E935EF"/>
    <w:rsid w:val="00EA7D38"/>
    <w:rsid w:val="00EB1095"/>
    <w:rsid w:val="00EB3A85"/>
    <w:rsid w:val="00ED2017"/>
    <w:rsid w:val="00ED2113"/>
    <w:rsid w:val="00ED63BF"/>
    <w:rsid w:val="00EE0AD3"/>
    <w:rsid w:val="00EF06BE"/>
    <w:rsid w:val="00EF0D67"/>
    <w:rsid w:val="00EF25AF"/>
    <w:rsid w:val="00EF2EB9"/>
    <w:rsid w:val="00F05B6D"/>
    <w:rsid w:val="00F420A5"/>
    <w:rsid w:val="00F51F56"/>
    <w:rsid w:val="00F55F11"/>
    <w:rsid w:val="00F756CD"/>
    <w:rsid w:val="00F77AB8"/>
    <w:rsid w:val="00F83041"/>
    <w:rsid w:val="00F85162"/>
    <w:rsid w:val="00F9251F"/>
    <w:rsid w:val="00F928E0"/>
    <w:rsid w:val="00FB0576"/>
    <w:rsid w:val="00FE465D"/>
    <w:rsid w:val="00FE4B2C"/>
    <w:rsid w:val="00FF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E3"/>
    <w:rPr>
      <w:lang w:val="da-DK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pografi1">
    <w:name w:val="Typografi1"/>
    <w:basedOn w:val="Normal"/>
    <w:next w:val="Normal"/>
    <w:qFormat/>
    <w:rsid w:val="008164E3"/>
    <w:rPr>
      <w:lang w:val="en-US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B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06"/>
    <w:rPr>
      <w:rFonts w:ascii="Lucida Grande" w:hAnsi="Lucida Grande" w:cs="Lucida Grande"/>
      <w:sz w:val="18"/>
      <w:szCs w:val="18"/>
      <w:lang w:val="da-DK" w:eastAsia="en-US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"/>
    <w:basedOn w:val="Normal"/>
    <w:link w:val="ListParagraphChar"/>
    <w:uiPriority w:val="34"/>
    <w:qFormat/>
    <w:rsid w:val="006B77F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3B17"/>
    <w:rPr>
      <w:b/>
      <w:bCs/>
      <w:i w:val="0"/>
      <w:iCs w:val="0"/>
    </w:rPr>
  </w:style>
  <w:style w:type="character" w:customStyle="1" w:styleId="st1">
    <w:name w:val="st1"/>
    <w:basedOn w:val="DefaultParagraphFont"/>
    <w:rsid w:val="00D63B17"/>
  </w:style>
  <w:style w:type="table" w:styleId="TableGrid">
    <w:name w:val="Table Grid"/>
    <w:basedOn w:val="TableNormal"/>
    <w:uiPriority w:val="59"/>
    <w:rsid w:val="00203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E35"/>
    <w:rPr>
      <w:lang w:val="da-DK" w:eastAsia="en-US"/>
    </w:rPr>
  </w:style>
  <w:style w:type="paragraph" w:styleId="Footer">
    <w:name w:val="footer"/>
    <w:basedOn w:val="Normal"/>
    <w:link w:val="FooterChar"/>
    <w:uiPriority w:val="99"/>
    <w:unhideWhenUsed/>
    <w:rsid w:val="00B76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E35"/>
    <w:rPr>
      <w:lang w:val="da-D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0B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B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B01"/>
    <w:rPr>
      <w:lang w:val="da-D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B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B01"/>
    <w:rPr>
      <w:b/>
      <w:bCs/>
      <w:sz w:val="20"/>
      <w:szCs w:val="20"/>
      <w:lang w:val="da-DK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2F01"/>
  </w:style>
  <w:style w:type="character" w:customStyle="1" w:styleId="DateChar">
    <w:name w:val="Date Char"/>
    <w:basedOn w:val="DefaultParagraphFont"/>
    <w:link w:val="Date"/>
    <w:uiPriority w:val="99"/>
    <w:semiHidden/>
    <w:rsid w:val="00BA2F01"/>
    <w:rPr>
      <w:lang w:val="da-DK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B1ECD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1ECD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B1EC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82F16"/>
    <w:pPr>
      <w:spacing w:before="100" w:beforeAutospacing="1" w:after="100" w:afterAutospacing="1"/>
    </w:pPr>
    <w:rPr>
      <w:rFonts w:ascii="Times New Roman" w:eastAsiaTheme="minorHAnsi" w:hAnsi="Times New Roman" w:cs="Times New Roman"/>
      <w:lang w:val="de-DE" w:eastAsia="de-DE"/>
    </w:rPr>
  </w:style>
  <w:style w:type="paragraph" w:customStyle="1" w:styleId="Default">
    <w:name w:val="Default"/>
    <w:rsid w:val="00F420A5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US"/>
    </w:r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locked/>
    <w:rsid w:val="00186F92"/>
    <w:rPr>
      <w:lang w:val="da-DK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756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 w:eastAsia="en-US"/>
    </w:rPr>
  </w:style>
  <w:style w:type="paragraph" w:customStyle="1" w:styleId="Listbulleted1">
    <w:name w:val="List bulleted 1"/>
    <w:basedOn w:val="Normal"/>
    <w:autoRedefine/>
    <w:rsid w:val="000C1F1D"/>
    <w:pPr>
      <w:spacing w:after="60"/>
      <w:ind w:left="360"/>
    </w:pPr>
    <w:rPr>
      <w:rFonts w:ascii="Times" w:eastAsia="Times New Roman" w:hAnsi="Times" w:cs="Arial"/>
      <w:b/>
      <w:bCs/>
      <w:color w:val="000000"/>
      <w:u w:val="single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EE0AD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ropbox\1%20WHO\DQ\Data%20Desk%20Review%20Exercise%20SEAR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asis\Downloads\FINAL%20Vacciland%20case%20study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Sheet1!$B$22</c:f>
              <c:strCache>
                <c:ptCount val="1"/>
                <c:pt idx="0">
                  <c:v>Age distribution 2018</c:v>
                </c:pt>
              </c:strCache>
            </c:strRef>
          </c:tx>
          <c:spPr>
            <a:solidFill>
              <a:schemeClr val="accent2"/>
            </a:solidFill>
          </c:spPr>
          <c:cat>
            <c:strRef>
              <c:f>Sheet1!$B$23:$B$29</c:f>
              <c:strCache>
                <c:ptCount val="7"/>
                <c:pt idx="0">
                  <c:v>&lt;1</c:v>
                </c:pt>
                <c:pt idx="1">
                  <c:v>1-4</c:v>
                </c:pt>
                <c:pt idx="2">
                  <c:v>5-9</c:v>
                </c:pt>
                <c:pt idx="3">
                  <c:v>10-14</c:v>
                </c:pt>
                <c:pt idx="4">
                  <c:v>15-19</c:v>
                </c:pt>
                <c:pt idx="5">
                  <c:v>20-29</c:v>
                </c:pt>
                <c:pt idx="6">
                  <c:v>30+</c:v>
                </c:pt>
              </c:strCache>
            </c:strRef>
          </c:cat>
          <c:val>
            <c:numRef>
              <c:f>Sheet1!$C$23:$C$29</c:f>
              <c:numCache>
                <c:formatCode>0%</c:formatCode>
                <c:ptCount val="7"/>
                <c:pt idx="0">
                  <c:v>0.11000000000000003</c:v>
                </c:pt>
                <c:pt idx="1">
                  <c:v>0.26</c:v>
                </c:pt>
                <c:pt idx="2">
                  <c:v>0.12000000000000002</c:v>
                </c:pt>
                <c:pt idx="3">
                  <c:v>7.0000000000000034E-2</c:v>
                </c:pt>
                <c:pt idx="4">
                  <c:v>6.0000000000000039E-2</c:v>
                </c:pt>
                <c:pt idx="5">
                  <c:v>0.16000000000000006</c:v>
                </c:pt>
                <c:pt idx="6">
                  <c:v>0.22000000000000006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C4-7E40-9B05-107C31897996}"/>
            </c:ext>
          </c:extLst>
        </c:ser>
        <c:axId val="65824640"/>
        <c:axId val="65826176"/>
      </c:barChart>
      <c:catAx>
        <c:axId val="65824640"/>
        <c:scaling>
          <c:orientation val="minMax"/>
        </c:scaling>
        <c:axPos val="b"/>
        <c:numFmt formatCode="General" sourceLinked="0"/>
        <c:tickLblPos val="nextTo"/>
        <c:crossAx val="65826176"/>
        <c:crosses val="autoZero"/>
        <c:auto val="1"/>
        <c:lblAlgn val="ctr"/>
        <c:lblOffset val="100"/>
      </c:catAx>
      <c:valAx>
        <c:axId val="65826176"/>
        <c:scaling>
          <c:orientation val="minMax"/>
        </c:scaling>
        <c:axPos val="l"/>
        <c:majorGridlines/>
        <c:numFmt formatCode="0%" sourceLinked="1"/>
        <c:tickLblPos val="nextTo"/>
        <c:crossAx val="6582464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1"/>
          <c:order val="0"/>
          <c:tx>
            <c:strRef>
              <c:f>'Measles cases'!$B$4</c:f>
              <c:strCache>
                <c:ptCount val="1"/>
                <c:pt idx="0">
                  <c:v>Measles, Confirmed cases</c:v>
                </c:pt>
              </c:strCache>
            </c:strRef>
          </c:tx>
          <c:cat>
            <c:strRef>
              <c:f>'Measles cases'!$C$3:$J$3</c:f>
              <c:strCach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 YTD</c:v>
                </c:pt>
              </c:strCache>
            </c:strRef>
          </c:cat>
          <c:val>
            <c:numRef>
              <c:f>'Measles cases'!$C$4:$J$4</c:f>
              <c:numCache>
                <c:formatCode>_-* #,##0_-;\-* #,##0_-;_-* "-"??_-;_-@_-</c:formatCode>
                <c:ptCount val="8"/>
                <c:pt idx="0">
                  <c:v>462</c:v>
                </c:pt>
                <c:pt idx="1">
                  <c:v>3285</c:v>
                </c:pt>
                <c:pt idx="2">
                  <c:v>126</c:v>
                </c:pt>
                <c:pt idx="3">
                  <c:v>32</c:v>
                </c:pt>
                <c:pt idx="4">
                  <c:v>84</c:v>
                </c:pt>
                <c:pt idx="5">
                  <c:v>53</c:v>
                </c:pt>
                <c:pt idx="6">
                  <c:v>63</c:v>
                </c:pt>
                <c:pt idx="7">
                  <c:v>625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E1-A64C-B2D5-D4E4D13EADE2}"/>
            </c:ext>
          </c:extLst>
        </c:ser>
        <c:axId val="102595200"/>
        <c:axId val="102596992"/>
      </c:barChart>
      <c:catAx>
        <c:axId val="102595200"/>
        <c:scaling>
          <c:orientation val="minMax"/>
        </c:scaling>
        <c:axPos val="b"/>
        <c:numFmt formatCode="General" sourceLinked="0"/>
        <c:tickLblPos val="nextTo"/>
        <c:crossAx val="102596992"/>
        <c:crosses val="autoZero"/>
        <c:auto val="1"/>
        <c:lblAlgn val="ctr"/>
        <c:lblOffset val="100"/>
      </c:catAx>
      <c:valAx>
        <c:axId val="102596992"/>
        <c:scaling>
          <c:orientation val="minMax"/>
        </c:scaling>
        <c:axPos val="l"/>
        <c:majorGridlines/>
        <c:numFmt formatCode="_-* #,##0_-;\-* #,##0_-;_-* &quot;-&quot;??_-;_-@_-" sourceLinked="1"/>
        <c:tickLblPos val="nextTo"/>
        <c:crossAx val="10259520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1701-7367-6846-B28F-F160A973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TML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Møller Larsen</dc:creator>
  <cp:lastModifiedBy>oasis</cp:lastModifiedBy>
  <cp:revision>2</cp:revision>
  <cp:lastPrinted>2018-05-09T07:35:00Z</cp:lastPrinted>
  <dcterms:created xsi:type="dcterms:W3CDTF">2018-10-31T08:00:00Z</dcterms:created>
  <dcterms:modified xsi:type="dcterms:W3CDTF">2018-10-31T08:00:00Z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